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120306" w14:textId="17E50985" w:rsidR="002B1894" w:rsidRPr="008E3BF7" w:rsidRDefault="008E3BF7" w:rsidP="00237322">
      <w:pPr>
        <w:spacing w:after="0" w:line="240" w:lineRule="auto"/>
        <w:jc w:val="both"/>
        <w:rPr>
          <w:rFonts w:ascii="Arial" w:hAnsi="Arial" w:cs="Arial"/>
          <w:sz w:val="20"/>
          <w:szCs w:val="20"/>
        </w:rPr>
      </w:pPr>
      <w:r>
        <w:rPr>
          <w:rFonts w:ascii="Arial" w:hAnsi="Arial" w:cs="Arial"/>
          <w:b/>
          <w:bCs/>
          <w:sz w:val="20"/>
          <w:szCs w:val="20"/>
        </w:rPr>
        <w:t xml:space="preserve">Title: </w:t>
      </w:r>
      <w:bookmarkStart w:id="0" w:name="_Hlk58945861"/>
      <w:r w:rsidR="002B1894" w:rsidRPr="008E3BF7">
        <w:rPr>
          <w:rFonts w:ascii="Arial" w:hAnsi="Arial" w:cs="Arial"/>
          <w:sz w:val="20"/>
          <w:szCs w:val="20"/>
        </w:rPr>
        <w:t>Time series analysis of COVID-19’s impact on the European’s hospitality industry: estimates based on accommodation statistics from 18 countries</w:t>
      </w:r>
      <w:bookmarkEnd w:id="0"/>
      <w:r w:rsidR="00D47DBD">
        <w:rPr>
          <w:rStyle w:val="FootnoteReference"/>
          <w:rFonts w:ascii="Arial" w:hAnsi="Arial" w:cs="Arial"/>
          <w:sz w:val="20"/>
          <w:szCs w:val="20"/>
        </w:rPr>
        <w:footnoteReference w:id="1"/>
      </w:r>
    </w:p>
    <w:p w14:paraId="4A0B6A07" w14:textId="77777777" w:rsidR="008E3BF7" w:rsidRPr="008E3BF7" w:rsidRDefault="008E3BF7" w:rsidP="00237322">
      <w:pPr>
        <w:spacing w:after="0" w:line="240" w:lineRule="auto"/>
        <w:jc w:val="both"/>
        <w:rPr>
          <w:rFonts w:ascii="Arial" w:hAnsi="Arial" w:cs="Arial"/>
          <w:sz w:val="20"/>
          <w:szCs w:val="20"/>
        </w:rPr>
      </w:pPr>
    </w:p>
    <w:p w14:paraId="4714B426" w14:textId="024D7F1C" w:rsidR="00F30290" w:rsidRPr="008E3BF7" w:rsidRDefault="00F30290" w:rsidP="00237322">
      <w:pPr>
        <w:spacing w:after="0" w:line="240" w:lineRule="auto"/>
        <w:jc w:val="both"/>
        <w:rPr>
          <w:rFonts w:ascii="Arial" w:hAnsi="Arial" w:cs="Arial"/>
          <w:b/>
          <w:bCs/>
        </w:rPr>
      </w:pPr>
      <w:r w:rsidRPr="008E3BF7">
        <w:rPr>
          <w:rFonts w:ascii="Arial" w:hAnsi="Arial" w:cs="Arial"/>
          <w:b/>
          <w:bCs/>
        </w:rPr>
        <w:t>Abstract</w:t>
      </w:r>
    </w:p>
    <w:p w14:paraId="571275AD" w14:textId="2A6E110E" w:rsidR="00F30290" w:rsidRPr="008E3BF7" w:rsidRDefault="00D54CBC" w:rsidP="00237322">
      <w:pPr>
        <w:spacing w:after="0" w:line="240" w:lineRule="auto"/>
        <w:jc w:val="both"/>
        <w:rPr>
          <w:rFonts w:ascii="Arial" w:hAnsi="Arial" w:cs="Arial"/>
          <w:color w:val="333333"/>
          <w:sz w:val="20"/>
          <w:szCs w:val="20"/>
          <w:shd w:val="clear" w:color="auto" w:fill="FFFFFF"/>
        </w:rPr>
      </w:pPr>
      <w:r w:rsidRPr="008E3BF7">
        <w:rPr>
          <w:rFonts w:ascii="Arial" w:hAnsi="Arial" w:cs="Arial"/>
          <w:color w:val="333333"/>
          <w:sz w:val="20"/>
          <w:szCs w:val="20"/>
          <w:shd w:val="clear" w:color="auto" w:fill="FFFFFF"/>
        </w:rPr>
        <w:t>In this study we quantitatively analyze adverse effects of the COVID-19 pandemic-related restrictions on a hospitality industry’s demand indicator dynamics in 18 European countries. We propose a unified approach for measuring COVID-related losses based on comparing actual outcomes with counterfactual outcomes obtained using the state-of-the-art Prophet procedure. We show that the algorithm is very competitive compared to some of the widely used automated forecasting procedures. Using data disaggregated to segments based on countries, accommodation types, tourists’ residence, and month, it has been shown that losses are heterogeneous across various segments of the hospitality market. The relative importance analysis using a decomposition of explained variance in regression models has shown that most of the explained variance can be attributed to time effects followed by country effects. The role of tourists’ residence and accommodation type is much smaller, but still significant. The most and the least impacted groups of countries are identified.</w:t>
      </w:r>
    </w:p>
    <w:p w14:paraId="5B9101E1" w14:textId="77777777" w:rsidR="00D54CBC" w:rsidRPr="008E3BF7" w:rsidRDefault="00D54CBC" w:rsidP="00237322">
      <w:pPr>
        <w:pStyle w:val="ListParagraph"/>
        <w:spacing w:after="0" w:line="240" w:lineRule="auto"/>
        <w:ind w:left="360"/>
        <w:jc w:val="both"/>
        <w:rPr>
          <w:rFonts w:ascii="Arial" w:hAnsi="Arial" w:cs="Arial"/>
          <w:b/>
          <w:bCs/>
          <w:sz w:val="20"/>
          <w:szCs w:val="20"/>
        </w:rPr>
      </w:pPr>
    </w:p>
    <w:p w14:paraId="70C1BDC9" w14:textId="3EEE0A0E" w:rsidR="00FD52F7" w:rsidRPr="008E3BF7" w:rsidRDefault="00FD52F7" w:rsidP="00237322">
      <w:pPr>
        <w:pStyle w:val="ListParagraph"/>
        <w:spacing w:after="0" w:line="240" w:lineRule="auto"/>
        <w:ind w:left="360"/>
        <w:jc w:val="both"/>
        <w:rPr>
          <w:rFonts w:ascii="Arial" w:hAnsi="Arial" w:cs="Arial"/>
          <w:sz w:val="20"/>
          <w:szCs w:val="20"/>
        </w:rPr>
      </w:pPr>
      <w:r w:rsidRPr="008E3BF7">
        <w:rPr>
          <w:rFonts w:ascii="Arial" w:hAnsi="Arial" w:cs="Arial"/>
          <w:b/>
          <w:bCs/>
          <w:sz w:val="20"/>
          <w:szCs w:val="20"/>
        </w:rPr>
        <w:t xml:space="preserve">Keywords: </w:t>
      </w:r>
      <w:r w:rsidRPr="008E3BF7">
        <w:rPr>
          <w:rFonts w:ascii="Arial" w:hAnsi="Arial" w:cs="Arial"/>
          <w:sz w:val="20"/>
          <w:szCs w:val="20"/>
        </w:rPr>
        <w:t>forecasting, COVID-19, hotels, accommodation, demand</w:t>
      </w:r>
      <w:r w:rsidR="002F67A0" w:rsidRPr="008E3BF7">
        <w:rPr>
          <w:rFonts w:ascii="Arial" w:hAnsi="Arial" w:cs="Arial"/>
          <w:sz w:val="20"/>
          <w:szCs w:val="20"/>
        </w:rPr>
        <w:t>, Shapley value</w:t>
      </w:r>
    </w:p>
    <w:p w14:paraId="4D048BA2" w14:textId="426DA9CE" w:rsidR="00237322" w:rsidRPr="008E3BF7" w:rsidRDefault="00237322" w:rsidP="00237322">
      <w:pPr>
        <w:pStyle w:val="ListParagraph"/>
        <w:spacing w:after="0" w:line="240" w:lineRule="auto"/>
        <w:ind w:left="360"/>
        <w:jc w:val="both"/>
        <w:rPr>
          <w:rFonts w:ascii="Arial" w:hAnsi="Arial" w:cs="Arial"/>
          <w:sz w:val="20"/>
          <w:szCs w:val="20"/>
        </w:rPr>
      </w:pPr>
    </w:p>
    <w:p w14:paraId="04182985" w14:textId="5985724C" w:rsidR="00237322" w:rsidRDefault="00237322" w:rsidP="00237322">
      <w:pPr>
        <w:pStyle w:val="ListParagraph"/>
        <w:spacing w:after="0" w:line="240" w:lineRule="auto"/>
        <w:ind w:left="360"/>
        <w:jc w:val="both"/>
        <w:rPr>
          <w:rFonts w:ascii="Arial" w:hAnsi="Arial" w:cs="Arial"/>
          <w:sz w:val="20"/>
          <w:szCs w:val="20"/>
        </w:rPr>
      </w:pPr>
      <w:r w:rsidRPr="008E3BF7">
        <w:rPr>
          <w:rFonts w:ascii="Arial" w:hAnsi="Arial" w:cs="Arial"/>
          <w:b/>
          <w:bCs/>
          <w:sz w:val="20"/>
          <w:szCs w:val="20"/>
        </w:rPr>
        <w:t>JEL:</w:t>
      </w:r>
      <w:r w:rsidRPr="008E3BF7">
        <w:rPr>
          <w:rFonts w:ascii="Arial" w:hAnsi="Arial" w:cs="Arial"/>
          <w:sz w:val="20"/>
          <w:szCs w:val="20"/>
        </w:rPr>
        <w:t xml:space="preserve"> C53, L83</w:t>
      </w:r>
    </w:p>
    <w:p w14:paraId="6F7EA0ED" w14:textId="67F0A3B3" w:rsidR="00D47DBD" w:rsidRDefault="00D47DBD" w:rsidP="00237322">
      <w:pPr>
        <w:pStyle w:val="ListParagraph"/>
        <w:spacing w:after="0" w:line="240" w:lineRule="auto"/>
        <w:ind w:left="360"/>
        <w:jc w:val="both"/>
        <w:rPr>
          <w:rFonts w:ascii="Arial" w:hAnsi="Arial" w:cs="Arial"/>
          <w:sz w:val="20"/>
          <w:szCs w:val="20"/>
        </w:rPr>
      </w:pPr>
    </w:p>
    <w:p w14:paraId="192A87B5" w14:textId="77777777" w:rsidR="00FD52F7" w:rsidRPr="008E3BF7" w:rsidRDefault="00FD52F7" w:rsidP="00237322">
      <w:pPr>
        <w:pStyle w:val="ListParagraph"/>
        <w:spacing w:after="0" w:line="240" w:lineRule="auto"/>
        <w:ind w:left="360"/>
        <w:jc w:val="both"/>
        <w:rPr>
          <w:rFonts w:ascii="Arial" w:hAnsi="Arial" w:cs="Arial"/>
          <w:b/>
          <w:bCs/>
        </w:rPr>
      </w:pPr>
    </w:p>
    <w:p w14:paraId="0403B836" w14:textId="23CB3DF5" w:rsidR="001958F6" w:rsidRPr="008E3BF7" w:rsidRDefault="001958F6" w:rsidP="00237322">
      <w:pPr>
        <w:pStyle w:val="ListParagraph"/>
        <w:numPr>
          <w:ilvl w:val="0"/>
          <w:numId w:val="8"/>
        </w:numPr>
        <w:spacing w:after="0" w:line="240" w:lineRule="auto"/>
        <w:jc w:val="both"/>
        <w:rPr>
          <w:rFonts w:ascii="Arial" w:hAnsi="Arial" w:cs="Arial"/>
          <w:b/>
          <w:bCs/>
        </w:rPr>
      </w:pPr>
      <w:r w:rsidRPr="008E3BF7">
        <w:rPr>
          <w:rFonts w:ascii="Arial" w:hAnsi="Arial" w:cs="Arial"/>
          <w:b/>
          <w:bCs/>
        </w:rPr>
        <w:t>Introduction</w:t>
      </w:r>
    </w:p>
    <w:p w14:paraId="435ACECE" w14:textId="0680ABD4" w:rsidR="00711BCE" w:rsidRPr="008E3BF7" w:rsidRDefault="00CB177B"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On 17 March 2020, EU Member States agreed on coordinated action at the external borders to restrict non-essential travel </w:t>
      </w:r>
      <w:r w:rsidR="009D735E" w:rsidRPr="008E3BF7">
        <w:rPr>
          <w:rFonts w:ascii="Arial" w:hAnsi="Arial" w:cs="Arial"/>
          <w:sz w:val="20"/>
          <w:szCs w:val="20"/>
        </w:rPr>
        <w:t xml:space="preserve">due to the COVID-19 outbreak </w:t>
      </w:r>
      <w:r w:rsidRPr="008E3BF7">
        <w:rPr>
          <w:rFonts w:ascii="Arial" w:hAnsi="Arial" w:cs="Arial"/>
          <w:sz w:val="20"/>
          <w:szCs w:val="20"/>
        </w:rPr>
        <w:t>for a specific period which has been extended a number of times</w:t>
      </w:r>
      <w:r w:rsidR="009D735E" w:rsidRPr="008E3BF7">
        <w:rPr>
          <w:rFonts w:ascii="Arial" w:hAnsi="Arial" w:cs="Arial"/>
          <w:sz w:val="20"/>
          <w:szCs w:val="20"/>
        </w:rPr>
        <w:t xml:space="preserve"> </w:t>
      </w:r>
      <w:r w:rsidR="009D735E" w:rsidRPr="008E3BF7">
        <w:rPr>
          <w:rFonts w:ascii="Arial" w:hAnsi="Arial" w:cs="Arial"/>
          <w:sz w:val="20"/>
          <w:szCs w:val="20"/>
        </w:rPr>
        <w:fldChar w:fldCharType="begin" w:fldLock="1"/>
      </w:r>
      <w:r w:rsidR="007A1953" w:rsidRPr="008E3BF7">
        <w:rPr>
          <w:rFonts w:ascii="Arial" w:hAnsi="Arial" w:cs="Arial"/>
          <w:sz w:val="20"/>
          <w:szCs w:val="20"/>
        </w:rPr>
        <w:instrText>ADDIN CSL_CITATION {"citationItems":[{"id":"ITEM-1","itemData":{"URL":"https://ec.europa.eu/info/live-work-travel-eu/health/coronavirus-response/travel-and-transportation-during-coronavirus-pandemic_en#travel-restrictions","accessed":{"date-parts":[["2020","9","13"]]},"author":[{"dropping-particle":"","family":"European Comission","given":"","non-dropping-particle":"","parse-names":false,"suffix":""}],"id":"ITEM-1","issued":{"date-parts":[["2020"]]},"title":"Travel and transportation during the coronavirus pandemic","type":"webpage"},"uris":["http://www.mendeley.com/documents/?uuid=ca9f5cd5-45ba-4a80-8c6e-a753c15631fa"]}],"mendeley":{"formattedCitation":"(European Comission, 2020)","plainTextFormattedCitation":"(European Comission, 2020)","previouslyFormattedCitation":"(European Comission, 2020)"},"properties":{"noteIndex":0},"schema":"https://github.com/citation-style-language/schema/raw/master/csl-citation.json"}</w:instrText>
      </w:r>
      <w:r w:rsidR="009D735E" w:rsidRPr="008E3BF7">
        <w:rPr>
          <w:rFonts w:ascii="Arial" w:hAnsi="Arial" w:cs="Arial"/>
          <w:sz w:val="20"/>
          <w:szCs w:val="20"/>
        </w:rPr>
        <w:fldChar w:fldCharType="separate"/>
      </w:r>
      <w:r w:rsidR="007A1953" w:rsidRPr="008E3BF7">
        <w:rPr>
          <w:rFonts w:ascii="Arial" w:hAnsi="Arial" w:cs="Arial"/>
          <w:noProof/>
          <w:sz w:val="20"/>
          <w:szCs w:val="20"/>
        </w:rPr>
        <w:t>(European Comission, 2020)</w:t>
      </w:r>
      <w:r w:rsidR="009D735E" w:rsidRPr="008E3BF7">
        <w:rPr>
          <w:rFonts w:ascii="Arial" w:hAnsi="Arial" w:cs="Arial"/>
          <w:sz w:val="20"/>
          <w:szCs w:val="20"/>
        </w:rPr>
        <w:fldChar w:fldCharType="end"/>
      </w:r>
      <w:r w:rsidRPr="008E3BF7">
        <w:rPr>
          <w:rFonts w:ascii="Arial" w:hAnsi="Arial" w:cs="Arial"/>
          <w:sz w:val="20"/>
          <w:szCs w:val="20"/>
        </w:rPr>
        <w:t xml:space="preserve">. </w:t>
      </w:r>
      <w:r w:rsidR="00EC5E7B" w:rsidRPr="008E3BF7">
        <w:rPr>
          <w:rFonts w:ascii="Arial" w:hAnsi="Arial" w:cs="Arial"/>
          <w:sz w:val="20"/>
          <w:szCs w:val="20"/>
        </w:rPr>
        <w:t xml:space="preserve">Other restrictions were applied by EU countries as well. </w:t>
      </w:r>
      <w:r w:rsidR="00004443" w:rsidRPr="008E3BF7">
        <w:rPr>
          <w:rFonts w:ascii="Arial" w:hAnsi="Arial" w:cs="Arial"/>
          <w:sz w:val="20"/>
          <w:szCs w:val="20"/>
        </w:rPr>
        <w:t>All these restrictions dramatically affected people’s r</w:t>
      </w:r>
      <w:r w:rsidR="00004443" w:rsidRPr="008E3BF7">
        <w:rPr>
          <w:rFonts w:ascii="Arial" w:hAnsi="Arial" w:cs="Arial"/>
          <w:sz w:val="20"/>
          <w:szCs w:val="20"/>
          <w:shd w:val="clear" w:color="auto" w:fill="FFFFFF"/>
        </w:rPr>
        <w:t xml:space="preserve">ights to participate in hospitality and tourism </w:t>
      </w:r>
      <w:r w:rsidR="00004443" w:rsidRPr="008E3BF7">
        <w:rPr>
          <w:rFonts w:ascii="Arial" w:hAnsi="Arial" w:cs="Arial"/>
          <w:sz w:val="20"/>
          <w:szCs w:val="20"/>
          <w:shd w:val="clear" w:color="auto" w:fill="FFFFFF"/>
        </w:rPr>
        <w:fldChar w:fldCharType="begin" w:fldLock="1"/>
      </w:r>
      <w:r w:rsidR="006533EA" w:rsidRPr="008E3BF7">
        <w:rPr>
          <w:rFonts w:ascii="Arial" w:hAnsi="Arial" w:cs="Arial"/>
          <w:sz w:val="20"/>
          <w:szCs w:val="20"/>
          <w:shd w:val="clear" w:color="auto" w:fill="FFFFFF"/>
        </w:rPr>
        <w:instrText>ADDIN CSL_CITATION {"citationItems":[{"id":"ITEM-1","itemData":{"author":[{"dropping-particle":"","family":"Baum","given":"Tom","non-dropping-particle":"","parse-names":false,"suffix":""},{"dropping-particle":"","family":"Hai","given":"Nguyen Thi Thanh","non-dropping-particle":"","parse-names":false,"suffix":""}],"container-title":"International Journal of Contemporary Hospitality Management","id":"ITEM-1","issued":{"date-parts":[["2020"]]},"publisher":"Emerald Publishing Limited","title":"Hospitality, tourism, human rights and the impact of COVID-19","type":"article-journal"},"uris":["http://www.mendeley.com/documents/?uuid=52dcf2fb-e051-4c6e-ae6f-6eb674b078ce"]}],"mendeley":{"formattedCitation":"(Baum and Hai, 2020)","plainTextFormattedCitation":"(Baum and Hai, 2020)","previouslyFormattedCitation":"(Baum and Hai, 2020)"},"properties":{"noteIndex":0},"schema":"https://github.com/citation-style-language/schema/raw/master/csl-citation.json"}</w:instrText>
      </w:r>
      <w:r w:rsidR="00004443" w:rsidRPr="008E3BF7">
        <w:rPr>
          <w:rFonts w:ascii="Arial" w:hAnsi="Arial" w:cs="Arial"/>
          <w:sz w:val="20"/>
          <w:szCs w:val="20"/>
          <w:shd w:val="clear" w:color="auto" w:fill="FFFFFF"/>
        </w:rPr>
        <w:fldChar w:fldCharType="separate"/>
      </w:r>
      <w:r w:rsidR="00004443" w:rsidRPr="008E3BF7">
        <w:rPr>
          <w:rFonts w:ascii="Arial" w:hAnsi="Arial" w:cs="Arial"/>
          <w:noProof/>
          <w:sz w:val="20"/>
          <w:szCs w:val="20"/>
          <w:shd w:val="clear" w:color="auto" w:fill="FFFFFF"/>
        </w:rPr>
        <w:t>(Baum and Hai, 2020)</w:t>
      </w:r>
      <w:r w:rsidR="00004443" w:rsidRPr="008E3BF7">
        <w:rPr>
          <w:rFonts w:ascii="Arial" w:hAnsi="Arial" w:cs="Arial"/>
          <w:sz w:val="20"/>
          <w:szCs w:val="20"/>
          <w:shd w:val="clear" w:color="auto" w:fill="FFFFFF"/>
        </w:rPr>
        <w:fldChar w:fldCharType="end"/>
      </w:r>
      <w:r w:rsidR="00004443" w:rsidRPr="008E3BF7">
        <w:rPr>
          <w:rFonts w:ascii="Arial" w:hAnsi="Arial" w:cs="Arial"/>
          <w:sz w:val="20"/>
          <w:szCs w:val="20"/>
          <w:shd w:val="clear" w:color="auto" w:fill="FFFFFF"/>
        </w:rPr>
        <w:t xml:space="preserve">. To </w:t>
      </w:r>
      <w:r w:rsidR="00C25A57" w:rsidRPr="008E3BF7">
        <w:rPr>
          <w:rFonts w:ascii="Arial" w:hAnsi="Arial" w:cs="Arial"/>
          <w:sz w:val="20"/>
          <w:szCs w:val="20"/>
        </w:rPr>
        <w:t xml:space="preserve">assess the impact of </w:t>
      </w:r>
      <w:r w:rsidR="005618D3" w:rsidRPr="008E3BF7">
        <w:rPr>
          <w:rFonts w:ascii="Arial" w:hAnsi="Arial" w:cs="Arial"/>
          <w:sz w:val="20"/>
          <w:szCs w:val="20"/>
        </w:rPr>
        <w:t xml:space="preserve">restrictions associated with </w:t>
      </w:r>
      <w:r w:rsidR="0072166D" w:rsidRPr="008E3BF7">
        <w:rPr>
          <w:rFonts w:ascii="Arial" w:hAnsi="Arial" w:cs="Arial"/>
          <w:sz w:val="20"/>
          <w:szCs w:val="20"/>
        </w:rPr>
        <w:t xml:space="preserve">the </w:t>
      </w:r>
      <w:r w:rsidR="00C25A57" w:rsidRPr="008E3BF7">
        <w:rPr>
          <w:rFonts w:ascii="Arial" w:hAnsi="Arial" w:cs="Arial"/>
          <w:sz w:val="20"/>
          <w:szCs w:val="20"/>
        </w:rPr>
        <w:t>COVID</w:t>
      </w:r>
      <w:r w:rsidR="005618D3" w:rsidRPr="008E3BF7">
        <w:rPr>
          <w:rFonts w:ascii="Arial" w:hAnsi="Arial" w:cs="Arial"/>
          <w:sz w:val="20"/>
          <w:szCs w:val="20"/>
        </w:rPr>
        <w:t>-19</w:t>
      </w:r>
      <w:r w:rsidR="00C25A57" w:rsidRPr="008E3BF7">
        <w:rPr>
          <w:rFonts w:ascii="Arial" w:hAnsi="Arial" w:cs="Arial"/>
          <w:sz w:val="20"/>
          <w:szCs w:val="20"/>
        </w:rPr>
        <w:t xml:space="preserve"> </w:t>
      </w:r>
      <w:r w:rsidR="005618D3" w:rsidRPr="008E3BF7">
        <w:rPr>
          <w:rFonts w:ascii="Arial" w:hAnsi="Arial" w:cs="Arial"/>
          <w:sz w:val="20"/>
          <w:szCs w:val="20"/>
        </w:rPr>
        <w:t xml:space="preserve">outbreak </w:t>
      </w:r>
      <w:r w:rsidR="00C25A57" w:rsidRPr="008E3BF7">
        <w:rPr>
          <w:rFonts w:ascii="Arial" w:hAnsi="Arial" w:cs="Arial"/>
          <w:sz w:val="20"/>
          <w:szCs w:val="20"/>
        </w:rPr>
        <w:t>on any industry, including the hospitality industry, it is crucial to be able to obtain high</w:t>
      </w:r>
      <w:r w:rsidR="00293919" w:rsidRPr="008E3BF7">
        <w:rPr>
          <w:rFonts w:ascii="Arial" w:hAnsi="Arial" w:cs="Arial"/>
          <w:sz w:val="20"/>
          <w:szCs w:val="20"/>
        </w:rPr>
        <w:t>-</w:t>
      </w:r>
      <w:r w:rsidR="00C25A57" w:rsidRPr="008E3BF7">
        <w:rPr>
          <w:rFonts w:ascii="Arial" w:hAnsi="Arial" w:cs="Arial"/>
          <w:sz w:val="20"/>
          <w:szCs w:val="20"/>
        </w:rPr>
        <w:t xml:space="preserve">quality baseline </w:t>
      </w:r>
      <w:r w:rsidR="00293919" w:rsidRPr="008E3BF7">
        <w:rPr>
          <w:rFonts w:ascii="Arial" w:hAnsi="Arial" w:cs="Arial"/>
          <w:sz w:val="20"/>
          <w:szCs w:val="20"/>
        </w:rPr>
        <w:t>forecasts of the industry’s key performance indicators</w:t>
      </w:r>
      <w:r w:rsidR="00C25A57" w:rsidRPr="008E3BF7">
        <w:rPr>
          <w:rFonts w:ascii="Arial" w:hAnsi="Arial" w:cs="Arial"/>
          <w:sz w:val="20"/>
          <w:szCs w:val="20"/>
        </w:rPr>
        <w:t xml:space="preserve">. </w:t>
      </w:r>
      <w:r w:rsidR="00D4590C" w:rsidRPr="008E3BF7">
        <w:rPr>
          <w:rFonts w:ascii="Arial" w:hAnsi="Arial" w:cs="Arial"/>
          <w:sz w:val="20"/>
          <w:szCs w:val="20"/>
        </w:rPr>
        <w:t xml:space="preserve">Such forecasts are necessary to </w:t>
      </w:r>
      <w:r w:rsidR="005618D3" w:rsidRPr="008E3BF7">
        <w:rPr>
          <w:rFonts w:ascii="Arial" w:hAnsi="Arial" w:cs="Arial"/>
          <w:sz w:val="20"/>
          <w:szCs w:val="20"/>
        </w:rPr>
        <w:t>figure out how close the industry is to having recovered from the downturn</w:t>
      </w:r>
      <w:r w:rsidR="004423D3" w:rsidRPr="008E3BF7">
        <w:rPr>
          <w:rFonts w:ascii="Arial" w:hAnsi="Arial" w:cs="Arial"/>
          <w:sz w:val="20"/>
          <w:szCs w:val="20"/>
        </w:rPr>
        <w:t xml:space="preserve"> at </w:t>
      </w:r>
      <w:r w:rsidR="00372358" w:rsidRPr="008E3BF7">
        <w:rPr>
          <w:rFonts w:ascii="Arial" w:hAnsi="Arial" w:cs="Arial"/>
          <w:sz w:val="20"/>
          <w:szCs w:val="20"/>
        </w:rPr>
        <w:t xml:space="preserve">any given point </w:t>
      </w:r>
      <w:r w:rsidR="004423D3" w:rsidRPr="008E3BF7">
        <w:rPr>
          <w:rFonts w:ascii="Arial" w:hAnsi="Arial" w:cs="Arial"/>
          <w:sz w:val="20"/>
          <w:szCs w:val="20"/>
        </w:rPr>
        <w:t>in time</w:t>
      </w:r>
      <w:r w:rsidR="00711BCE" w:rsidRPr="008E3BF7">
        <w:rPr>
          <w:rFonts w:ascii="Arial" w:hAnsi="Arial" w:cs="Arial"/>
          <w:sz w:val="20"/>
          <w:szCs w:val="20"/>
        </w:rPr>
        <w:t xml:space="preserve">, as well as </w:t>
      </w:r>
      <w:r w:rsidR="00106B08" w:rsidRPr="008E3BF7">
        <w:rPr>
          <w:rFonts w:ascii="Arial" w:hAnsi="Arial" w:cs="Arial"/>
          <w:sz w:val="20"/>
          <w:szCs w:val="20"/>
        </w:rPr>
        <w:t xml:space="preserve">to </w:t>
      </w:r>
      <w:r w:rsidR="009F056C" w:rsidRPr="008E3BF7">
        <w:rPr>
          <w:rFonts w:ascii="Arial" w:hAnsi="Arial" w:cs="Arial"/>
          <w:sz w:val="20"/>
          <w:szCs w:val="20"/>
        </w:rPr>
        <w:t xml:space="preserve">give governments quantitative </w:t>
      </w:r>
      <w:r w:rsidR="00137671" w:rsidRPr="008E3BF7">
        <w:rPr>
          <w:rFonts w:ascii="Arial" w:hAnsi="Arial" w:cs="Arial"/>
          <w:sz w:val="20"/>
          <w:szCs w:val="20"/>
        </w:rPr>
        <w:t>estimates</w:t>
      </w:r>
      <w:r w:rsidR="009F056C" w:rsidRPr="008E3BF7">
        <w:rPr>
          <w:rFonts w:ascii="Arial" w:hAnsi="Arial" w:cs="Arial"/>
          <w:sz w:val="20"/>
          <w:szCs w:val="20"/>
        </w:rPr>
        <w:t xml:space="preserve"> for providing differentiated rather than unified</w:t>
      </w:r>
      <w:r w:rsidR="00106B08" w:rsidRPr="008E3BF7">
        <w:rPr>
          <w:rFonts w:ascii="Arial" w:hAnsi="Arial" w:cs="Arial"/>
          <w:sz w:val="20"/>
          <w:szCs w:val="20"/>
        </w:rPr>
        <w:t xml:space="preserve"> support </w:t>
      </w:r>
      <w:r w:rsidR="00711BCE" w:rsidRPr="008E3BF7">
        <w:rPr>
          <w:rFonts w:ascii="Arial" w:hAnsi="Arial" w:cs="Arial"/>
          <w:sz w:val="20"/>
          <w:szCs w:val="20"/>
        </w:rPr>
        <w:t>for</w:t>
      </w:r>
      <w:r w:rsidR="00106B08" w:rsidRPr="008E3BF7">
        <w:rPr>
          <w:rFonts w:ascii="Arial" w:hAnsi="Arial" w:cs="Arial"/>
          <w:sz w:val="20"/>
          <w:szCs w:val="20"/>
        </w:rPr>
        <w:t xml:space="preserve"> </w:t>
      </w:r>
      <w:r w:rsidR="009F056C" w:rsidRPr="008E3BF7">
        <w:rPr>
          <w:rFonts w:ascii="Arial" w:hAnsi="Arial" w:cs="Arial"/>
          <w:sz w:val="20"/>
          <w:szCs w:val="20"/>
        </w:rPr>
        <w:t xml:space="preserve">each </w:t>
      </w:r>
      <w:r w:rsidR="00106B08" w:rsidRPr="008E3BF7">
        <w:rPr>
          <w:rFonts w:ascii="Arial" w:hAnsi="Arial" w:cs="Arial"/>
          <w:sz w:val="20"/>
          <w:szCs w:val="20"/>
        </w:rPr>
        <w:t xml:space="preserve">segment of the hospitality industry </w:t>
      </w:r>
      <w:r w:rsidR="009F056C" w:rsidRPr="008E3BF7">
        <w:rPr>
          <w:rFonts w:ascii="Arial" w:hAnsi="Arial" w:cs="Arial"/>
          <w:sz w:val="20"/>
          <w:szCs w:val="20"/>
        </w:rPr>
        <w:t xml:space="preserve">taking </w:t>
      </w:r>
      <w:r w:rsidR="00711BCE" w:rsidRPr="008E3BF7">
        <w:rPr>
          <w:rFonts w:ascii="Arial" w:hAnsi="Arial" w:cs="Arial"/>
          <w:sz w:val="20"/>
          <w:szCs w:val="20"/>
        </w:rPr>
        <w:t>non-homogeneity</w:t>
      </w:r>
      <w:r w:rsidR="009F056C" w:rsidRPr="008E3BF7">
        <w:rPr>
          <w:rFonts w:ascii="Arial" w:hAnsi="Arial" w:cs="Arial"/>
          <w:sz w:val="20"/>
          <w:szCs w:val="20"/>
        </w:rPr>
        <w:t xml:space="preserve"> of the </w:t>
      </w:r>
      <w:r w:rsidR="00372358" w:rsidRPr="008E3BF7">
        <w:rPr>
          <w:rFonts w:ascii="Arial" w:hAnsi="Arial" w:cs="Arial"/>
          <w:sz w:val="20"/>
          <w:szCs w:val="20"/>
        </w:rPr>
        <w:t>lockdown’s</w:t>
      </w:r>
      <w:r w:rsidR="009F056C" w:rsidRPr="008E3BF7">
        <w:rPr>
          <w:rFonts w:ascii="Arial" w:hAnsi="Arial" w:cs="Arial"/>
          <w:sz w:val="20"/>
          <w:szCs w:val="20"/>
        </w:rPr>
        <w:t xml:space="preserve"> effect across these segments.</w:t>
      </w:r>
      <w:r w:rsidR="00106B08" w:rsidRPr="008E3BF7">
        <w:rPr>
          <w:rFonts w:ascii="Arial" w:hAnsi="Arial" w:cs="Arial"/>
          <w:sz w:val="20"/>
          <w:szCs w:val="20"/>
        </w:rPr>
        <w:t xml:space="preserve"> </w:t>
      </w:r>
      <w:r w:rsidR="00711BCE" w:rsidRPr="008E3BF7">
        <w:rPr>
          <w:rFonts w:ascii="Arial" w:hAnsi="Arial" w:cs="Arial"/>
          <w:sz w:val="20"/>
          <w:szCs w:val="20"/>
        </w:rPr>
        <w:t xml:space="preserve">A relatively small lag </w:t>
      </w:r>
      <w:r w:rsidR="0080230F" w:rsidRPr="008E3BF7">
        <w:rPr>
          <w:rFonts w:ascii="Arial" w:hAnsi="Arial" w:cs="Arial"/>
          <w:sz w:val="20"/>
          <w:szCs w:val="20"/>
        </w:rPr>
        <w:t xml:space="preserve">of 1-2 months </w:t>
      </w:r>
      <w:r w:rsidR="00711BCE" w:rsidRPr="008E3BF7">
        <w:rPr>
          <w:rFonts w:ascii="Arial" w:hAnsi="Arial" w:cs="Arial"/>
          <w:sz w:val="20"/>
          <w:szCs w:val="20"/>
        </w:rPr>
        <w:t xml:space="preserve">with which </w:t>
      </w:r>
      <w:r w:rsidR="00711BCE" w:rsidRPr="008E3BF7">
        <w:rPr>
          <w:rFonts w:ascii="Arial" w:hAnsi="Arial" w:cs="Arial"/>
          <w:sz w:val="20"/>
          <w:szCs w:val="20"/>
        </w:rPr>
        <w:lastRenderedPageBreak/>
        <w:t>European tourism statistics becomes available</w:t>
      </w:r>
      <w:r w:rsidR="0080230F" w:rsidRPr="008E3BF7">
        <w:rPr>
          <w:rFonts w:ascii="Arial" w:hAnsi="Arial" w:cs="Arial"/>
          <w:sz w:val="20"/>
          <w:szCs w:val="20"/>
        </w:rPr>
        <w:t xml:space="preserve">, makes such targeted data-based decisions </w:t>
      </w:r>
      <w:r w:rsidR="00372358" w:rsidRPr="008E3BF7">
        <w:rPr>
          <w:rFonts w:ascii="Arial" w:hAnsi="Arial" w:cs="Arial"/>
          <w:sz w:val="20"/>
          <w:szCs w:val="20"/>
        </w:rPr>
        <w:t xml:space="preserve">potentially </w:t>
      </w:r>
      <w:r w:rsidR="0080230F" w:rsidRPr="008E3BF7">
        <w:rPr>
          <w:rFonts w:ascii="Arial" w:hAnsi="Arial" w:cs="Arial"/>
          <w:sz w:val="20"/>
          <w:szCs w:val="20"/>
        </w:rPr>
        <w:t>possible.</w:t>
      </w:r>
      <w:r w:rsidR="00711BCE" w:rsidRPr="008E3BF7">
        <w:rPr>
          <w:rFonts w:ascii="Arial" w:hAnsi="Arial" w:cs="Arial"/>
          <w:sz w:val="20"/>
          <w:szCs w:val="20"/>
        </w:rPr>
        <w:t xml:space="preserve"> </w:t>
      </w:r>
    </w:p>
    <w:p w14:paraId="43DDDA1F" w14:textId="191CF7C5" w:rsidR="00054100" w:rsidRPr="008E3BF7" w:rsidRDefault="00D11118" w:rsidP="00237322">
      <w:pPr>
        <w:spacing w:after="0" w:line="240" w:lineRule="auto"/>
        <w:ind w:firstLine="720"/>
        <w:jc w:val="both"/>
        <w:rPr>
          <w:rFonts w:ascii="Arial" w:hAnsi="Arial" w:cs="Arial"/>
          <w:sz w:val="20"/>
          <w:szCs w:val="20"/>
          <w:shd w:val="clear" w:color="auto" w:fill="FFFFFF"/>
        </w:rPr>
      </w:pPr>
      <w:r w:rsidRPr="008E3BF7">
        <w:rPr>
          <w:rFonts w:ascii="Arial" w:hAnsi="Arial" w:cs="Arial"/>
          <w:sz w:val="20"/>
          <w:szCs w:val="20"/>
          <w:shd w:val="clear" w:color="auto" w:fill="FFFFFF"/>
        </w:rPr>
        <w:t xml:space="preserve">Accommodation statistics are a key part of the system of tourism statistics in the EU and have a long history of data collection, but there have </w:t>
      </w:r>
      <w:r w:rsidR="007170F2" w:rsidRPr="008E3BF7">
        <w:rPr>
          <w:rFonts w:ascii="Arial" w:hAnsi="Arial" w:cs="Arial"/>
          <w:sz w:val="20"/>
          <w:szCs w:val="20"/>
          <w:shd w:val="clear" w:color="auto" w:fill="FFFFFF"/>
        </w:rPr>
        <w:t xml:space="preserve">been </w:t>
      </w:r>
      <w:r w:rsidR="0043311B" w:rsidRPr="008E3BF7">
        <w:rPr>
          <w:rFonts w:ascii="Arial" w:hAnsi="Arial" w:cs="Arial"/>
          <w:sz w:val="20"/>
          <w:szCs w:val="20"/>
          <w:shd w:val="clear" w:color="auto" w:fill="FFFFFF"/>
        </w:rPr>
        <w:t>no systematic research into</w:t>
      </w:r>
      <w:r w:rsidRPr="008E3BF7">
        <w:rPr>
          <w:rFonts w:ascii="Arial" w:hAnsi="Arial" w:cs="Arial"/>
          <w:sz w:val="20"/>
          <w:szCs w:val="20"/>
          <w:shd w:val="clear" w:color="auto" w:fill="FFFFFF"/>
        </w:rPr>
        <w:t xml:space="preserve"> </w:t>
      </w:r>
      <w:r w:rsidR="009F056C" w:rsidRPr="008E3BF7">
        <w:rPr>
          <w:rFonts w:ascii="Arial" w:hAnsi="Arial" w:cs="Arial"/>
          <w:sz w:val="20"/>
          <w:szCs w:val="20"/>
          <w:shd w:val="clear" w:color="auto" w:fill="FFFFFF"/>
        </w:rPr>
        <w:t xml:space="preserve">the best </w:t>
      </w:r>
      <w:r w:rsidRPr="008E3BF7">
        <w:rPr>
          <w:rFonts w:ascii="Arial" w:hAnsi="Arial" w:cs="Arial"/>
          <w:sz w:val="20"/>
          <w:szCs w:val="20"/>
          <w:shd w:val="clear" w:color="auto" w:fill="FFFFFF"/>
        </w:rPr>
        <w:t xml:space="preserve">methods for obtaining annual baseline forecasts </w:t>
      </w:r>
      <w:r w:rsidR="0043311B" w:rsidRPr="008E3BF7">
        <w:rPr>
          <w:rFonts w:ascii="Arial" w:hAnsi="Arial" w:cs="Arial"/>
          <w:sz w:val="20"/>
          <w:szCs w:val="20"/>
          <w:shd w:val="clear" w:color="auto" w:fill="FFFFFF"/>
        </w:rPr>
        <w:t xml:space="preserve">for the hospitality industry’s performance indicators. </w:t>
      </w:r>
      <w:r w:rsidR="001051D0" w:rsidRPr="008E3BF7">
        <w:rPr>
          <w:rFonts w:ascii="Arial" w:hAnsi="Arial" w:cs="Arial"/>
          <w:sz w:val="20"/>
          <w:szCs w:val="20"/>
        </w:rPr>
        <w:t xml:space="preserve">The goal of the paper is </w:t>
      </w:r>
      <w:r w:rsidR="00F9716D" w:rsidRPr="008E3BF7">
        <w:rPr>
          <w:rFonts w:ascii="Arial" w:hAnsi="Arial" w:cs="Arial"/>
          <w:sz w:val="20"/>
          <w:szCs w:val="20"/>
        </w:rPr>
        <w:t>to propose a framework for</w:t>
      </w:r>
      <w:r w:rsidR="001051D0" w:rsidRPr="008E3BF7">
        <w:rPr>
          <w:rFonts w:ascii="Arial" w:hAnsi="Arial" w:cs="Arial"/>
          <w:sz w:val="20"/>
          <w:szCs w:val="20"/>
        </w:rPr>
        <w:t xml:space="preserve"> </w:t>
      </w:r>
      <w:r w:rsidR="007170F2" w:rsidRPr="008E3BF7">
        <w:rPr>
          <w:rFonts w:ascii="Arial" w:hAnsi="Arial" w:cs="Arial"/>
          <w:sz w:val="20"/>
          <w:szCs w:val="20"/>
        </w:rPr>
        <w:t xml:space="preserve">obtaining such </w:t>
      </w:r>
      <w:r w:rsidR="00B43646" w:rsidRPr="008E3BF7">
        <w:rPr>
          <w:rFonts w:ascii="Arial" w:hAnsi="Arial" w:cs="Arial"/>
          <w:sz w:val="20"/>
          <w:szCs w:val="20"/>
        </w:rPr>
        <w:t xml:space="preserve">counterfactual </w:t>
      </w:r>
      <w:r w:rsidR="007170F2" w:rsidRPr="008E3BF7">
        <w:rPr>
          <w:rFonts w:ascii="Arial" w:hAnsi="Arial" w:cs="Arial"/>
          <w:sz w:val="20"/>
          <w:szCs w:val="20"/>
        </w:rPr>
        <w:t xml:space="preserve">forecasts and for </w:t>
      </w:r>
      <w:r w:rsidR="001051D0" w:rsidRPr="008E3BF7">
        <w:rPr>
          <w:rFonts w:ascii="Arial" w:hAnsi="Arial" w:cs="Arial"/>
          <w:sz w:val="20"/>
          <w:szCs w:val="20"/>
        </w:rPr>
        <w:t xml:space="preserve">assessing losses of tourism industry caused by </w:t>
      </w:r>
      <w:r w:rsidR="009F056C" w:rsidRPr="008E3BF7">
        <w:rPr>
          <w:rFonts w:ascii="Arial" w:hAnsi="Arial" w:cs="Arial"/>
          <w:sz w:val="20"/>
          <w:szCs w:val="20"/>
        </w:rPr>
        <w:t>unusual event</w:t>
      </w:r>
      <w:r w:rsidR="00372358" w:rsidRPr="008E3BF7">
        <w:rPr>
          <w:rFonts w:ascii="Arial" w:hAnsi="Arial" w:cs="Arial"/>
          <w:sz w:val="20"/>
          <w:szCs w:val="20"/>
        </w:rPr>
        <w:t>s</w:t>
      </w:r>
      <w:r w:rsidR="009F056C" w:rsidRPr="008E3BF7">
        <w:rPr>
          <w:rFonts w:ascii="Arial" w:hAnsi="Arial" w:cs="Arial"/>
          <w:sz w:val="20"/>
          <w:szCs w:val="20"/>
        </w:rPr>
        <w:t xml:space="preserve"> such as </w:t>
      </w:r>
      <w:r w:rsidR="001051D0" w:rsidRPr="008E3BF7">
        <w:rPr>
          <w:rFonts w:ascii="Arial" w:hAnsi="Arial" w:cs="Arial"/>
          <w:sz w:val="20"/>
          <w:szCs w:val="20"/>
        </w:rPr>
        <w:t xml:space="preserve">the COVID pandemic </w:t>
      </w:r>
      <w:r w:rsidR="00F9716D" w:rsidRPr="008E3BF7">
        <w:rPr>
          <w:rFonts w:ascii="Arial" w:hAnsi="Arial" w:cs="Arial"/>
          <w:sz w:val="20"/>
          <w:szCs w:val="20"/>
        </w:rPr>
        <w:t xml:space="preserve">and </w:t>
      </w:r>
      <w:r w:rsidR="009F056C" w:rsidRPr="008E3BF7">
        <w:rPr>
          <w:rFonts w:ascii="Arial" w:hAnsi="Arial" w:cs="Arial"/>
          <w:sz w:val="20"/>
          <w:szCs w:val="20"/>
        </w:rPr>
        <w:t xml:space="preserve">to </w:t>
      </w:r>
      <w:r w:rsidR="00F9716D" w:rsidRPr="008E3BF7">
        <w:rPr>
          <w:rFonts w:ascii="Arial" w:hAnsi="Arial" w:cs="Arial"/>
          <w:sz w:val="20"/>
          <w:szCs w:val="20"/>
        </w:rPr>
        <w:t xml:space="preserve">provide </w:t>
      </w:r>
      <w:r w:rsidRPr="008E3BF7">
        <w:rPr>
          <w:rFonts w:ascii="Arial" w:hAnsi="Arial" w:cs="Arial"/>
          <w:sz w:val="20"/>
          <w:szCs w:val="20"/>
        </w:rPr>
        <w:t>preliminary</w:t>
      </w:r>
      <w:r w:rsidR="00F9716D" w:rsidRPr="008E3BF7">
        <w:rPr>
          <w:rFonts w:ascii="Arial" w:hAnsi="Arial" w:cs="Arial"/>
          <w:sz w:val="20"/>
          <w:szCs w:val="20"/>
        </w:rPr>
        <w:t xml:space="preserve"> quantitative estimates </w:t>
      </w:r>
      <w:r w:rsidR="001051D0" w:rsidRPr="008E3BF7">
        <w:rPr>
          <w:rFonts w:ascii="Arial" w:hAnsi="Arial" w:cs="Arial"/>
          <w:sz w:val="20"/>
          <w:szCs w:val="20"/>
        </w:rPr>
        <w:t>by assessing incremental difference</w:t>
      </w:r>
      <w:r w:rsidR="00F9716D" w:rsidRPr="008E3BF7">
        <w:rPr>
          <w:rFonts w:ascii="Arial" w:hAnsi="Arial" w:cs="Arial"/>
          <w:sz w:val="20"/>
          <w:szCs w:val="20"/>
        </w:rPr>
        <w:t>s</w:t>
      </w:r>
      <w:r w:rsidR="001051D0" w:rsidRPr="008E3BF7">
        <w:rPr>
          <w:rFonts w:ascii="Arial" w:hAnsi="Arial" w:cs="Arial"/>
          <w:sz w:val="20"/>
          <w:szCs w:val="20"/>
        </w:rPr>
        <w:t xml:space="preserve"> between the </w:t>
      </w:r>
      <w:r w:rsidR="00B43646" w:rsidRPr="008E3BF7">
        <w:rPr>
          <w:rFonts w:ascii="Arial" w:hAnsi="Arial" w:cs="Arial"/>
          <w:sz w:val="20"/>
          <w:szCs w:val="20"/>
        </w:rPr>
        <w:t>actual values of an</w:t>
      </w:r>
      <w:r w:rsidR="001051D0" w:rsidRPr="008E3BF7">
        <w:rPr>
          <w:rFonts w:ascii="Arial" w:hAnsi="Arial" w:cs="Arial"/>
          <w:sz w:val="20"/>
          <w:szCs w:val="20"/>
        </w:rPr>
        <w:t xml:space="preserve"> important </w:t>
      </w:r>
      <w:r w:rsidR="00B43646" w:rsidRPr="008E3BF7">
        <w:rPr>
          <w:rFonts w:ascii="Arial" w:hAnsi="Arial" w:cs="Arial"/>
          <w:sz w:val="20"/>
          <w:szCs w:val="20"/>
        </w:rPr>
        <w:t xml:space="preserve">hospitality and </w:t>
      </w:r>
      <w:r w:rsidR="001051D0" w:rsidRPr="008E3BF7">
        <w:rPr>
          <w:rFonts w:ascii="Arial" w:hAnsi="Arial" w:cs="Arial"/>
          <w:sz w:val="20"/>
          <w:szCs w:val="20"/>
        </w:rPr>
        <w:t xml:space="preserve">tourism industry indicator and </w:t>
      </w:r>
      <w:r w:rsidR="009F056C" w:rsidRPr="008E3BF7">
        <w:rPr>
          <w:rFonts w:ascii="Arial" w:hAnsi="Arial" w:cs="Arial"/>
          <w:sz w:val="20"/>
          <w:szCs w:val="20"/>
        </w:rPr>
        <w:t>its</w:t>
      </w:r>
      <w:r w:rsidR="001051D0" w:rsidRPr="008E3BF7">
        <w:rPr>
          <w:rFonts w:ascii="Arial" w:hAnsi="Arial" w:cs="Arial"/>
          <w:sz w:val="20"/>
          <w:szCs w:val="20"/>
        </w:rPr>
        <w:t xml:space="preserve"> baseline forecast.</w:t>
      </w:r>
      <w:r w:rsidR="005618D3" w:rsidRPr="008E3BF7">
        <w:rPr>
          <w:rFonts w:ascii="Arial" w:hAnsi="Arial" w:cs="Arial"/>
          <w:sz w:val="20"/>
          <w:szCs w:val="20"/>
          <w:shd w:val="clear" w:color="auto" w:fill="FFFFFF"/>
        </w:rPr>
        <w:t xml:space="preserve"> </w:t>
      </w:r>
      <w:r w:rsidR="00711BCE" w:rsidRPr="008E3BF7">
        <w:rPr>
          <w:rFonts w:ascii="Arial" w:hAnsi="Arial" w:cs="Arial"/>
          <w:sz w:val="20"/>
          <w:szCs w:val="20"/>
          <w:shd w:val="clear" w:color="auto" w:fill="FFFFFF"/>
        </w:rPr>
        <w:t xml:space="preserve">The topic is important not only </w:t>
      </w:r>
      <w:r w:rsidR="00372358" w:rsidRPr="008E3BF7">
        <w:rPr>
          <w:rFonts w:ascii="Arial" w:hAnsi="Arial" w:cs="Arial"/>
          <w:sz w:val="20"/>
          <w:szCs w:val="20"/>
          <w:shd w:val="clear" w:color="auto" w:fill="FFFFFF"/>
        </w:rPr>
        <w:t>now</w:t>
      </w:r>
      <w:r w:rsidR="0080230F" w:rsidRPr="008E3BF7">
        <w:rPr>
          <w:rFonts w:ascii="Arial" w:hAnsi="Arial" w:cs="Arial"/>
          <w:sz w:val="20"/>
          <w:szCs w:val="20"/>
          <w:shd w:val="clear" w:color="auto" w:fill="FFFFFF"/>
        </w:rPr>
        <w:t xml:space="preserve">, when </w:t>
      </w:r>
      <w:r w:rsidR="00711BCE" w:rsidRPr="008E3BF7">
        <w:rPr>
          <w:rFonts w:ascii="Arial" w:hAnsi="Arial" w:cs="Arial"/>
          <w:sz w:val="20"/>
          <w:szCs w:val="20"/>
          <w:shd w:val="clear" w:color="auto" w:fill="FFFFFF"/>
        </w:rPr>
        <w:t xml:space="preserve">the industry is still far from full recovery and </w:t>
      </w:r>
      <w:r w:rsidR="0080230F" w:rsidRPr="008E3BF7">
        <w:rPr>
          <w:rFonts w:ascii="Arial" w:hAnsi="Arial" w:cs="Arial"/>
          <w:sz w:val="20"/>
          <w:szCs w:val="20"/>
          <w:shd w:val="clear" w:color="auto" w:fill="FFFFFF"/>
        </w:rPr>
        <w:t>the threats</w:t>
      </w:r>
      <w:r w:rsidR="00711BCE" w:rsidRPr="008E3BF7">
        <w:rPr>
          <w:rFonts w:ascii="Arial" w:hAnsi="Arial" w:cs="Arial"/>
          <w:sz w:val="20"/>
          <w:szCs w:val="20"/>
          <w:shd w:val="clear" w:color="auto" w:fill="FFFFFF"/>
        </w:rPr>
        <w:t xml:space="preserve"> of new waves of the outbreak</w:t>
      </w:r>
      <w:r w:rsidR="0080230F" w:rsidRPr="008E3BF7">
        <w:rPr>
          <w:rFonts w:ascii="Arial" w:hAnsi="Arial" w:cs="Arial"/>
          <w:sz w:val="20"/>
          <w:szCs w:val="20"/>
          <w:shd w:val="clear" w:color="auto" w:fill="FFFFFF"/>
        </w:rPr>
        <w:t xml:space="preserve"> remain</w:t>
      </w:r>
      <w:r w:rsidR="00711BCE" w:rsidRPr="008E3BF7">
        <w:rPr>
          <w:rFonts w:ascii="Arial" w:hAnsi="Arial" w:cs="Arial"/>
          <w:sz w:val="20"/>
          <w:szCs w:val="20"/>
          <w:shd w:val="clear" w:color="auto" w:fill="FFFFFF"/>
        </w:rPr>
        <w:t xml:space="preserve">, but also </w:t>
      </w:r>
      <w:r w:rsidR="00137671" w:rsidRPr="008E3BF7">
        <w:rPr>
          <w:rFonts w:ascii="Arial" w:hAnsi="Arial" w:cs="Arial"/>
          <w:sz w:val="20"/>
          <w:szCs w:val="20"/>
          <w:shd w:val="clear" w:color="auto" w:fill="FFFFFF"/>
        </w:rPr>
        <w:t>to make it possible for</w:t>
      </w:r>
      <w:r w:rsidR="00711BCE" w:rsidRPr="008E3BF7">
        <w:rPr>
          <w:rFonts w:ascii="Arial" w:hAnsi="Arial" w:cs="Arial"/>
          <w:sz w:val="20"/>
          <w:szCs w:val="20"/>
          <w:shd w:val="clear" w:color="auto" w:fill="FFFFFF"/>
        </w:rPr>
        <w:t xml:space="preserve"> government agencies and professional associations </w:t>
      </w:r>
      <w:r w:rsidR="0080230F" w:rsidRPr="008E3BF7">
        <w:rPr>
          <w:rFonts w:ascii="Arial" w:hAnsi="Arial" w:cs="Arial"/>
          <w:sz w:val="20"/>
          <w:szCs w:val="20"/>
          <w:shd w:val="clear" w:color="auto" w:fill="FFFFFF"/>
        </w:rPr>
        <w:t xml:space="preserve">to obtain such estimates quickly in case of any other </w:t>
      </w:r>
      <w:r w:rsidR="00711BCE" w:rsidRPr="008E3BF7">
        <w:rPr>
          <w:rFonts w:ascii="Arial" w:hAnsi="Arial" w:cs="Arial"/>
          <w:sz w:val="20"/>
          <w:szCs w:val="20"/>
          <w:shd w:val="clear" w:color="auto" w:fill="FFFFFF"/>
        </w:rPr>
        <w:t xml:space="preserve">influential events that may occur in the future. </w:t>
      </w:r>
    </w:p>
    <w:p w14:paraId="460107E1" w14:textId="2753DB36" w:rsidR="00356D68" w:rsidRPr="008E3BF7" w:rsidRDefault="00356D68"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This study uses time series data to identify the incremental effect of the COVID-19 by comparing observed values of a key hospitality industry indicator </w:t>
      </w:r>
      <w:r w:rsidR="006A08DB" w:rsidRPr="008E3BF7">
        <w:rPr>
          <w:rFonts w:ascii="Arial" w:hAnsi="Arial" w:cs="Arial"/>
          <w:sz w:val="20"/>
          <w:szCs w:val="20"/>
        </w:rPr>
        <w:t>-</w:t>
      </w:r>
      <w:r w:rsidRPr="008E3BF7">
        <w:rPr>
          <w:rFonts w:ascii="Arial" w:hAnsi="Arial" w:cs="Arial"/>
          <w:sz w:val="20"/>
          <w:szCs w:val="20"/>
        </w:rPr>
        <w:t xml:space="preserve"> nights spent at tourist accommodation establishments - </w:t>
      </w:r>
      <w:r w:rsidR="006A08DB" w:rsidRPr="008E3BF7">
        <w:rPr>
          <w:rFonts w:ascii="Arial" w:hAnsi="Arial" w:cs="Arial"/>
          <w:sz w:val="20"/>
          <w:szCs w:val="20"/>
        </w:rPr>
        <w:t>to</w:t>
      </w:r>
      <w:r w:rsidRPr="008E3BF7">
        <w:rPr>
          <w:rFonts w:ascii="Arial" w:hAnsi="Arial" w:cs="Arial"/>
          <w:sz w:val="20"/>
          <w:szCs w:val="20"/>
        </w:rPr>
        <w:t xml:space="preserve"> those predicted in the absence of COVID-19 based on data from 2012-2019. Many forecasting techniques were used for predicting tourism</w:t>
      </w:r>
      <w:r w:rsidR="006A08DB" w:rsidRPr="008E3BF7">
        <w:rPr>
          <w:rFonts w:ascii="Arial" w:hAnsi="Arial" w:cs="Arial"/>
          <w:sz w:val="20"/>
          <w:szCs w:val="20"/>
        </w:rPr>
        <w:t>-related</w:t>
      </w:r>
      <w:r w:rsidRPr="008E3BF7">
        <w:rPr>
          <w:rFonts w:ascii="Arial" w:hAnsi="Arial" w:cs="Arial"/>
          <w:sz w:val="20"/>
          <w:szCs w:val="20"/>
        </w:rPr>
        <w:t xml:space="preserve"> demand</w:t>
      </w:r>
      <w:r w:rsidR="006A08DB" w:rsidRPr="008E3BF7">
        <w:rPr>
          <w:rFonts w:ascii="Arial" w:hAnsi="Arial" w:cs="Arial"/>
          <w:sz w:val="20"/>
          <w:szCs w:val="20"/>
        </w:rPr>
        <w:t xml:space="preserve"> indicators</w:t>
      </w:r>
      <w:r w:rsidRPr="008E3BF7">
        <w:rPr>
          <w:rFonts w:ascii="Arial" w:hAnsi="Arial" w:cs="Arial"/>
          <w:sz w:val="20"/>
          <w:szCs w:val="20"/>
        </w:rPr>
        <w:t>, including ARIMA</w:t>
      </w:r>
      <w:r w:rsidR="00372358" w:rsidRPr="008E3BF7">
        <w:rPr>
          <w:rFonts w:ascii="Arial" w:hAnsi="Arial" w:cs="Arial"/>
          <w:sz w:val="20"/>
          <w:szCs w:val="20"/>
        </w:rPr>
        <w:t xml:space="preserve"> </w:t>
      </w:r>
      <w:r w:rsidR="00372358" w:rsidRPr="008E3BF7">
        <w:rPr>
          <w:rFonts w:ascii="Arial" w:hAnsi="Arial" w:cs="Arial"/>
          <w:sz w:val="20"/>
          <w:szCs w:val="20"/>
        </w:rPr>
        <w:fldChar w:fldCharType="begin" w:fldLock="1"/>
      </w:r>
      <w:r w:rsidR="00372358" w:rsidRPr="008E3BF7">
        <w:rPr>
          <w:rFonts w:ascii="Arial" w:hAnsi="Arial" w:cs="Arial"/>
          <w:sz w:val="20"/>
          <w:szCs w:val="20"/>
        </w:rPr>
        <w:instrText>ADDIN CSL_CITATION {"citationItems":[{"id":"ITEM-1","itemData":{"author":[{"dropping-particle":"","family":"Chang","given":"Yu-Wei","non-dropping-particle":"","parse-names":false,"suffix":""},{"dropping-particle":"","family":"Liao","given":"Meng-Yuan","non-dropping-particle":"","parse-names":false,"suffix":""}],"container-title":"Asia Pacific journal of Tourism research","id":"ITEM-1","issue":"2","issued":{"date-parts":[["2010"]]},"page":"215-221","publisher":"Taylor &amp; Francis","title":"A seasonal ARIMA model of tourism forecasting: The case of Taiwan","type":"article-journal","volume":"15"},"uris":["http://www.mendeley.com/documents/?uuid=87fd137c-0cf2-48d7-8c74-90d55706e6e9"]}],"mendeley":{"formattedCitation":"(Chang and Liao, 2010)","plainTextFormattedCitation":"(Chang and Liao, 2010)","previouslyFormattedCitation":"(Chang and Liao, 2010)"},"properties":{"noteIndex":0},"schema":"https://github.com/citation-style-language/schema/raw/master/csl-citation.json"}</w:instrText>
      </w:r>
      <w:r w:rsidR="00372358" w:rsidRPr="008E3BF7">
        <w:rPr>
          <w:rFonts w:ascii="Arial" w:hAnsi="Arial" w:cs="Arial"/>
          <w:sz w:val="20"/>
          <w:szCs w:val="20"/>
        </w:rPr>
        <w:fldChar w:fldCharType="separate"/>
      </w:r>
      <w:r w:rsidR="00372358" w:rsidRPr="008E3BF7">
        <w:rPr>
          <w:rFonts w:ascii="Arial" w:hAnsi="Arial" w:cs="Arial"/>
          <w:noProof/>
          <w:sz w:val="20"/>
          <w:szCs w:val="20"/>
        </w:rPr>
        <w:t>(Chang and Liao, 2010)</w:t>
      </w:r>
      <w:r w:rsidR="00372358" w:rsidRPr="008E3BF7">
        <w:rPr>
          <w:rFonts w:ascii="Arial" w:hAnsi="Arial" w:cs="Arial"/>
          <w:sz w:val="20"/>
          <w:szCs w:val="20"/>
        </w:rPr>
        <w:fldChar w:fldCharType="end"/>
      </w:r>
      <w:r w:rsidRPr="008E3BF7">
        <w:rPr>
          <w:rFonts w:ascii="Arial" w:hAnsi="Arial" w:cs="Arial"/>
          <w:sz w:val="20"/>
          <w:szCs w:val="20"/>
        </w:rPr>
        <w:t xml:space="preserve">, ETS models </w:t>
      </w:r>
      <w:r w:rsidR="00372358" w:rsidRPr="008E3BF7">
        <w:rPr>
          <w:rFonts w:ascii="Arial" w:hAnsi="Arial" w:cs="Arial"/>
          <w:sz w:val="20"/>
          <w:szCs w:val="20"/>
        </w:rPr>
        <w:fldChar w:fldCharType="begin" w:fldLock="1"/>
      </w:r>
      <w:r w:rsidR="00F24099" w:rsidRPr="008E3BF7">
        <w:rPr>
          <w:rFonts w:ascii="Arial" w:hAnsi="Arial" w:cs="Arial"/>
          <w:sz w:val="20"/>
          <w:szCs w:val="20"/>
        </w:rPr>
        <w:instrText>ADDIN CSL_CITATION {"citationItems":[{"id":"ITEM-1","itemData":{"author":[{"dropping-particle":"","family":"Athanasopoulos","given":"George","non-dropping-particle":"","parse-names":false,"suffix":""},{"dropping-particle":"","family":"Hyndman","given":"Rob J","non-dropping-particle":"","parse-names":false,"suffix":""}],"container-title":"Tourism Management","id":"ITEM-1","issue":"1","issued":{"date-parts":[["2008"]]},"page":"19-31","publisher":"Elsevier","title":"Modelling and forecasting Australian domestic tourism","type":"article-journal","volume":"29"},"uris":["http://www.mendeley.com/documents/?uuid=0cbf49db-6e90-482c-9b29-cdaf350ba559"]},{"id":"ITEM-2","itemData":{"author":[{"dropping-particle":"","family":"Gunter","given":"Ulrich","non-dropping-particle":"","parse-names":false,"suffix":""},{"dropping-particle":"","family":"Önder","given":"Irem","non-dropping-particle":"","parse-names":false,"suffix":""}],"container-title":"Tourism management","id":"ITEM-2","issued":{"date-parts":[["2015"]]},"page":"123-135","publisher":"Elsevier","title":"Forecasting international city tourism demand for Paris: Accuracy of uni-and multivariate models employing monthly data","type":"article-journal","volume":"46"},"uris":["http://www.mendeley.com/documents/?uuid=b3202dee-3512-4eca-ad20-d1a19e61dee1"]}],"mendeley":{"formattedCitation":"(Athanasopoulos and Hyndman, 2008; Gunter and Önder, 2015)","plainTextFormattedCitation":"(Athanasopoulos and Hyndman, 2008; Gunter and Önder, 2015)","previouslyFormattedCitation":"(Athanasopoulos and Hyndman, 2008; Gunter and Önder, 2015)"},"properties":{"noteIndex":0},"schema":"https://github.com/citation-style-language/schema/raw/master/csl-citation.json"}</w:instrText>
      </w:r>
      <w:r w:rsidR="00372358" w:rsidRPr="008E3BF7">
        <w:rPr>
          <w:rFonts w:ascii="Arial" w:hAnsi="Arial" w:cs="Arial"/>
          <w:sz w:val="20"/>
          <w:szCs w:val="20"/>
        </w:rPr>
        <w:fldChar w:fldCharType="separate"/>
      </w:r>
      <w:r w:rsidR="00372358" w:rsidRPr="008E3BF7">
        <w:rPr>
          <w:rFonts w:ascii="Arial" w:hAnsi="Arial" w:cs="Arial"/>
          <w:noProof/>
          <w:sz w:val="20"/>
          <w:szCs w:val="20"/>
        </w:rPr>
        <w:t>(Athanasopoulos and Hyndman, 2008; Gunter and Önder, 2015)</w:t>
      </w:r>
      <w:r w:rsidR="00372358" w:rsidRPr="008E3BF7">
        <w:rPr>
          <w:rFonts w:ascii="Arial" w:hAnsi="Arial" w:cs="Arial"/>
          <w:sz w:val="20"/>
          <w:szCs w:val="20"/>
        </w:rPr>
        <w:fldChar w:fldCharType="end"/>
      </w:r>
      <w:r w:rsidRPr="008E3BF7">
        <w:rPr>
          <w:rFonts w:ascii="Arial" w:hAnsi="Arial" w:cs="Arial"/>
          <w:sz w:val="20"/>
          <w:szCs w:val="20"/>
        </w:rPr>
        <w:t xml:space="preserve">, and neural networks </w:t>
      </w:r>
      <w:r w:rsidR="00F24099" w:rsidRPr="008E3BF7">
        <w:rPr>
          <w:rFonts w:ascii="Arial" w:hAnsi="Arial" w:cs="Arial"/>
          <w:sz w:val="20"/>
          <w:szCs w:val="20"/>
        </w:rPr>
        <w:fldChar w:fldCharType="begin" w:fldLock="1"/>
      </w:r>
      <w:r w:rsidR="00F24099" w:rsidRPr="008E3BF7">
        <w:rPr>
          <w:rFonts w:ascii="Arial" w:hAnsi="Arial" w:cs="Arial"/>
          <w:sz w:val="20"/>
          <w:szCs w:val="20"/>
        </w:rPr>
        <w:instrText>ADDIN CSL_CITATION {"citationItems":[{"id":"ITEM-1","itemData":{"author":[{"dropping-particle":"","family":"Claveria","given":"Oscar","non-dropping-particle":"","parse-names":false,"suffix":""},{"dropping-particle":"","family":"Torra","given":"Salvador","non-dropping-particle":"","parse-names":false,"suffix":""}],"container-title":"Economic Modelling","id":"ITEM-1","issued":{"date-parts":[["2014"]]},"page":"220-228","publisher":"Elsevier","title":"Forecasting tourism demand to Catalonia: Neural networks vs. time series models","type":"article-journal","volume":"36"},"uris":["http://www.mendeley.com/documents/?uuid=995b7d16-3f0a-40c9-9b3d-9577656c2d2d"]}],"mendeley":{"formattedCitation":"(Claveria and Torra, 2014)","plainTextFormattedCitation":"(Claveria and Torra, 2014)","previouslyFormattedCitation":"(Claveria and Torra, 2014)"},"properties":{"noteIndex":0},"schema":"https://github.com/citation-style-language/schema/raw/master/csl-citation.json"}</w:instrText>
      </w:r>
      <w:r w:rsidR="00F24099" w:rsidRPr="008E3BF7">
        <w:rPr>
          <w:rFonts w:ascii="Arial" w:hAnsi="Arial" w:cs="Arial"/>
          <w:sz w:val="20"/>
          <w:szCs w:val="20"/>
        </w:rPr>
        <w:fldChar w:fldCharType="separate"/>
      </w:r>
      <w:r w:rsidR="00F24099" w:rsidRPr="008E3BF7">
        <w:rPr>
          <w:rFonts w:ascii="Arial" w:hAnsi="Arial" w:cs="Arial"/>
          <w:noProof/>
          <w:sz w:val="20"/>
          <w:szCs w:val="20"/>
        </w:rPr>
        <w:t>(Claveria and Torra, 2014)</w:t>
      </w:r>
      <w:r w:rsidR="00F24099" w:rsidRPr="008E3BF7">
        <w:rPr>
          <w:rFonts w:ascii="Arial" w:hAnsi="Arial" w:cs="Arial"/>
          <w:sz w:val="20"/>
          <w:szCs w:val="20"/>
        </w:rPr>
        <w:fldChar w:fldCharType="end"/>
      </w:r>
      <w:r w:rsidR="00F24099" w:rsidRPr="008E3BF7">
        <w:rPr>
          <w:rFonts w:ascii="Arial" w:hAnsi="Arial" w:cs="Arial"/>
          <w:sz w:val="20"/>
          <w:szCs w:val="20"/>
        </w:rPr>
        <w:t>.</w:t>
      </w:r>
      <w:r w:rsidRPr="008E3BF7">
        <w:rPr>
          <w:rFonts w:ascii="Arial" w:hAnsi="Arial" w:cs="Arial"/>
          <w:sz w:val="20"/>
          <w:szCs w:val="20"/>
        </w:rPr>
        <w:t xml:space="preserve"> The performance of all methods varied from study to study and there is no evidence that any single method </w:t>
      </w:r>
      <w:r w:rsidR="009F056C" w:rsidRPr="008E3BF7">
        <w:rPr>
          <w:rFonts w:ascii="Arial" w:hAnsi="Arial" w:cs="Arial"/>
          <w:sz w:val="20"/>
          <w:szCs w:val="20"/>
        </w:rPr>
        <w:t>outperforms</w:t>
      </w:r>
      <w:r w:rsidRPr="008E3BF7">
        <w:rPr>
          <w:rFonts w:ascii="Arial" w:hAnsi="Arial" w:cs="Arial"/>
          <w:sz w:val="20"/>
          <w:szCs w:val="20"/>
        </w:rPr>
        <w:t xml:space="preserve"> all or most others. Prophet forecasting procedure</w:t>
      </w:r>
      <w:r w:rsidR="009F056C" w:rsidRPr="008E3BF7">
        <w:rPr>
          <w:rFonts w:ascii="Arial" w:hAnsi="Arial" w:cs="Arial"/>
          <w:sz w:val="20"/>
          <w:szCs w:val="20"/>
        </w:rPr>
        <w:t xml:space="preserve"> </w:t>
      </w:r>
      <w:r w:rsidR="00F24099" w:rsidRPr="008E3BF7">
        <w:rPr>
          <w:rFonts w:ascii="Arial" w:hAnsi="Arial" w:cs="Arial"/>
          <w:sz w:val="20"/>
          <w:szCs w:val="20"/>
        </w:rPr>
        <w:fldChar w:fldCharType="begin" w:fldLock="1"/>
      </w:r>
      <w:r w:rsidR="00867B38" w:rsidRPr="008E3BF7">
        <w:rPr>
          <w:rFonts w:ascii="Arial" w:hAnsi="Arial" w:cs="Arial"/>
          <w:sz w:val="20"/>
          <w:szCs w:val="20"/>
        </w:rPr>
        <w:instrText>ADDIN CSL_CITATION {"citationItems":[{"id":"ITEM-1","itemData":{"author":[{"dropping-particle":"","family":"Taylor","given":"Sean J","non-dropping-particle":"","parse-names":false,"suffix":""},{"dropping-particle":"","family":"Letham","given":"Benjamin","non-dropping-particle":"","parse-names":false,"suffix":""}],"container-title":"The American Statistician","id":"ITEM-1","issue":"1","issued":{"date-parts":[["2018"]]},"page":"37-45","publisher":"Taylor &amp; Francis","title":"Forecasting at scale","type":"article-journal","volume":"72"},"uris":["http://www.mendeley.com/documents/?uuid=3f82f40c-b33d-49b4-9ae0-18473fa8c463"]}],"mendeley":{"formattedCitation":"(Taylor and Letham, 2018)","plainTextFormattedCitation":"(Taylor and Letham, 2018)","previouslyFormattedCitation":"(Taylor and Letham, 2018)"},"properties":{"noteIndex":0},"schema":"https://github.com/citation-style-language/schema/raw/master/csl-citation.json"}</w:instrText>
      </w:r>
      <w:r w:rsidR="00F24099" w:rsidRPr="008E3BF7">
        <w:rPr>
          <w:rFonts w:ascii="Arial" w:hAnsi="Arial" w:cs="Arial"/>
          <w:sz w:val="20"/>
          <w:szCs w:val="20"/>
        </w:rPr>
        <w:fldChar w:fldCharType="separate"/>
      </w:r>
      <w:r w:rsidR="00F24099" w:rsidRPr="008E3BF7">
        <w:rPr>
          <w:rFonts w:ascii="Arial" w:hAnsi="Arial" w:cs="Arial"/>
          <w:noProof/>
          <w:sz w:val="20"/>
          <w:szCs w:val="20"/>
        </w:rPr>
        <w:t>(Taylor and Letham, 2018)</w:t>
      </w:r>
      <w:r w:rsidR="00F24099" w:rsidRPr="008E3BF7">
        <w:rPr>
          <w:rFonts w:ascii="Arial" w:hAnsi="Arial" w:cs="Arial"/>
          <w:sz w:val="20"/>
          <w:szCs w:val="20"/>
        </w:rPr>
        <w:fldChar w:fldCharType="end"/>
      </w:r>
      <w:r w:rsidRPr="008E3BF7">
        <w:rPr>
          <w:rFonts w:ascii="Arial" w:hAnsi="Arial" w:cs="Arial"/>
          <w:sz w:val="20"/>
          <w:szCs w:val="20"/>
        </w:rPr>
        <w:t>, used in this study, has not been applied to tourism data before</w:t>
      </w:r>
      <w:r w:rsidR="009F056C" w:rsidRPr="008E3BF7">
        <w:rPr>
          <w:rFonts w:ascii="Arial" w:hAnsi="Arial" w:cs="Arial"/>
          <w:sz w:val="20"/>
          <w:szCs w:val="20"/>
        </w:rPr>
        <w:t>, while being a promising tool for bulk forecasting without fine-tuning each model individually</w:t>
      </w:r>
      <w:r w:rsidR="00711BCE" w:rsidRPr="008E3BF7">
        <w:rPr>
          <w:rFonts w:ascii="Arial" w:hAnsi="Arial" w:cs="Arial"/>
          <w:sz w:val="20"/>
          <w:szCs w:val="20"/>
        </w:rPr>
        <w:t>.</w:t>
      </w:r>
    </w:p>
    <w:p w14:paraId="146A5B5E" w14:textId="1A975172" w:rsidR="00F65A85" w:rsidRPr="008E3BF7" w:rsidRDefault="00C25A57"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First, we compare </w:t>
      </w:r>
      <w:r w:rsidR="0043311B" w:rsidRPr="008E3BF7">
        <w:rPr>
          <w:rFonts w:ascii="Arial" w:hAnsi="Arial" w:cs="Arial"/>
          <w:sz w:val="20"/>
          <w:szCs w:val="20"/>
        </w:rPr>
        <w:t>four</w:t>
      </w:r>
      <w:r w:rsidRPr="008E3BF7">
        <w:rPr>
          <w:rFonts w:ascii="Arial" w:hAnsi="Arial" w:cs="Arial"/>
          <w:sz w:val="20"/>
          <w:szCs w:val="20"/>
        </w:rPr>
        <w:t xml:space="preserve"> state-of-the art time series modeling techniques </w:t>
      </w:r>
      <w:r w:rsidR="00711BCE" w:rsidRPr="008E3BF7">
        <w:rPr>
          <w:rFonts w:ascii="Arial" w:hAnsi="Arial" w:cs="Arial"/>
          <w:sz w:val="20"/>
          <w:szCs w:val="20"/>
        </w:rPr>
        <w:t>based on</w:t>
      </w:r>
      <w:r w:rsidRPr="008E3BF7">
        <w:rPr>
          <w:rFonts w:ascii="Arial" w:hAnsi="Arial" w:cs="Arial"/>
          <w:sz w:val="20"/>
          <w:szCs w:val="20"/>
        </w:rPr>
        <w:t xml:space="preserve"> the</w:t>
      </w:r>
      <w:r w:rsidR="0043311B" w:rsidRPr="008E3BF7">
        <w:rPr>
          <w:rFonts w:ascii="Arial" w:hAnsi="Arial" w:cs="Arial"/>
          <w:sz w:val="20"/>
          <w:szCs w:val="20"/>
        </w:rPr>
        <w:t xml:space="preserve"> quality of</w:t>
      </w:r>
      <w:r w:rsidRPr="008E3BF7">
        <w:rPr>
          <w:rFonts w:ascii="Arial" w:hAnsi="Arial" w:cs="Arial"/>
          <w:sz w:val="20"/>
          <w:szCs w:val="20"/>
        </w:rPr>
        <w:t xml:space="preserve"> predictions obtained </w:t>
      </w:r>
      <w:r w:rsidR="0043311B" w:rsidRPr="008E3BF7">
        <w:rPr>
          <w:rFonts w:ascii="Arial" w:hAnsi="Arial" w:cs="Arial"/>
          <w:sz w:val="20"/>
          <w:szCs w:val="20"/>
        </w:rPr>
        <w:t xml:space="preserve">using them </w:t>
      </w:r>
      <w:r w:rsidRPr="008E3BF7">
        <w:rPr>
          <w:rFonts w:ascii="Arial" w:hAnsi="Arial" w:cs="Arial"/>
          <w:sz w:val="20"/>
          <w:szCs w:val="20"/>
        </w:rPr>
        <w:t xml:space="preserve">for </w:t>
      </w:r>
      <w:r w:rsidR="0043311B" w:rsidRPr="008E3BF7">
        <w:rPr>
          <w:rFonts w:ascii="Arial" w:hAnsi="Arial" w:cs="Arial"/>
          <w:sz w:val="20"/>
          <w:szCs w:val="20"/>
        </w:rPr>
        <w:t xml:space="preserve">the </w:t>
      </w:r>
      <w:r w:rsidR="00711BCE" w:rsidRPr="008E3BF7">
        <w:rPr>
          <w:rFonts w:ascii="Arial" w:hAnsi="Arial" w:cs="Arial"/>
          <w:sz w:val="20"/>
          <w:szCs w:val="20"/>
        </w:rPr>
        <w:t xml:space="preserve">12 months of </w:t>
      </w:r>
      <w:r w:rsidRPr="008E3BF7">
        <w:rPr>
          <w:rFonts w:ascii="Arial" w:hAnsi="Arial" w:cs="Arial"/>
          <w:sz w:val="20"/>
          <w:szCs w:val="20"/>
        </w:rPr>
        <w:t xml:space="preserve">2019 using </w:t>
      </w:r>
      <w:r w:rsidR="0043311B" w:rsidRPr="008E3BF7">
        <w:rPr>
          <w:rFonts w:ascii="Arial" w:hAnsi="Arial" w:cs="Arial"/>
          <w:sz w:val="20"/>
          <w:szCs w:val="20"/>
        </w:rPr>
        <w:t xml:space="preserve">monthly </w:t>
      </w:r>
      <w:r w:rsidRPr="008E3BF7">
        <w:rPr>
          <w:rFonts w:ascii="Arial" w:hAnsi="Arial" w:cs="Arial"/>
          <w:sz w:val="20"/>
          <w:szCs w:val="20"/>
        </w:rPr>
        <w:t xml:space="preserve">data </w:t>
      </w:r>
      <w:r w:rsidR="0043311B" w:rsidRPr="008E3BF7">
        <w:rPr>
          <w:rFonts w:ascii="Arial" w:hAnsi="Arial" w:cs="Arial"/>
          <w:sz w:val="20"/>
          <w:szCs w:val="20"/>
        </w:rPr>
        <w:t>from 84 previous months</w:t>
      </w:r>
      <w:r w:rsidRPr="008E3BF7">
        <w:rPr>
          <w:rFonts w:ascii="Arial" w:hAnsi="Arial" w:cs="Arial"/>
          <w:sz w:val="20"/>
          <w:szCs w:val="20"/>
        </w:rPr>
        <w:t>. Second</w:t>
      </w:r>
      <w:r w:rsidR="001051D0" w:rsidRPr="008E3BF7">
        <w:rPr>
          <w:rFonts w:ascii="Arial" w:hAnsi="Arial" w:cs="Arial"/>
          <w:sz w:val="20"/>
          <w:szCs w:val="20"/>
        </w:rPr>
        <w:t xml:space="preserve">, we obtain forecasts </w:t>
      </w:r>
      <w:r w:rsidR="00592F91" w:rsidRPr="008E3BF7">
        <w:rPr>
          <w:rFonts w:ascii="Arial" w:hAnsi="Arial" w:cs="Arial"/>
          <w:sz w:val="20"/>
          <w:szCs w:val="20"/>
        </w:rPr>
        <w:t xml:space="preserve">for </w:t>
      </w:r>
      <w:r w:rsidR="00DB03BD" w:rsidRPr="008E3BF7">
        <w:rPr>
          <w:rFonts w:ascii="Arial" w:hAnsi="Arial" w:cs="Arial"/>
          <w:sz w:val="20"/>
          <w:szCs w:val="20"/>
        </w:rPr>
        <w:t>each month of</w:t>
      </w:r>
      <w:r w:rsidR="00592F91" w:rsidRPr="008E3BF7">
        <w:rPr>
          <w:rFonts w:ascii="Arial" w:hAnsi="Arial" w:cs="Arial"/>
          <w:sz w:val="20"/>
          <w:szCs w:val="20"/>
        </w:rPr>
        <w:t xml:space="preserve"> 2020 </w:t>
      </w:r>
      <w:r w:rsidR="001051D0" w:rsidRPr="008E3BF7">
        <w:rPr>
          <w:rFonts w:ascii="Arial" w:hAnsi="Arial" w:cs="Arial"/>
          <w:sz w:val="20"/>
          <w:szCs w:val="20"/>
        </w:rPr>
        <w:t xml:space="preserve">based on </w:t>
      </w:r>
      <w:r w:rsidR="00711BCE" w:rsidRPr="008E3BF7">
        <w:rPr>
          <w:rFonts w:ascii="Arial" w:hAnsi="Arial" w:cs="Arial"/>
          <w:sz w:val="20"/>
          <w:szCs w:val="20"/>
        </w:rPr>
        <w:t xml:space="preserve">all </w:t>
      </w:r>
      <w:r w:rsidR="001051D0" w:rsidRPr="008E3BF7">
        <w:rPr>
          <w:rFonts w:ascii="Arial" w:hAnsi="Arial" w:cs="Arial"/>
          <w:sz w:val="20"/>
          <w:szCs w:val="20"/>
        </w:rPr>
        <w:t>pre-COVID data</w:t>
      </w:r>
      <w:r w:rsidR="00711BCE" w:rsidRPr="008E3BF7">
        <w:rPr>
          <w:rFonts w:ascii="Arial" w:hAnsi="Arial" w:cs="Arial"/>
          <w:sz w:val="20"/>
          <w:szCs w:val="20"/>
        </w:rPr>
        <w:t xml:space="preserve"> from January 2012 to December 2019</w:t>
      </w:r>
      <w:r w:rsidR="001051D0" w:rsidRPr="008E3BF7">
        <w:rPr>
          <w:rFonts w:ascii="Arial" w:hAnsi="Arial" w:cs="Arial"/>
          <w:sz w:val="20"/>
          <w:szCs w:val="20"/>
        </w:rPr>
        <w:t xml:space="preserve">. This gives a baseline for all other comparisons that </w:t>
      </w:r>
      <w:r w:rsidR="004423D3" w:rsidRPr="008E3BF7">
        <w:rPr>
          <w:rFonts w:ascii="Arial" w:hAnsi="Arial" w:cs="Arial"/>
          <w:sz w:val="20"/>
          <w:szCs w:val="20"/>
        </w:rPr>
        <w:t>can be used</w:t>
      </w:r>
      <w:r w:rsidR="001051D0" w:rsidRPr="008E3BF7">
        <w:rPr>
          <w:rFonts w:ascii="Arial" w:hAnsi="Arial" w:cs="Arial"/>
          <w:sz w:val="20"/>
          <w:szCs w:val="20"/>
        </w:rPr>
        <w:t xml:space="preserve"> over the whole year. </w:t>
      </w:r>
      <w:r w:rsidRPr="008E3BF7">
        <w:rPr>
          <w:rFonts w:ascii="Arial" w:hAnsi="Arial" w:cs="Arial"/>
          <w:sz w:val="20"/>
          <w:szCs w:val="20"/>
        </w:rPr>
        <w:t>By comparing the actual figure</w:t>
      </w:r>
      <w:r w:rsidR="004423D3" w:rsidRPr="008E3BF7">
        <w:rPr>
          <w:rFonts w:ascii="Arial" w:hAnsi="Arial" w:cs="Arial"/>
          <w:sz w:val="20"/>
          <w:szCs w:val="20"/>
        </w:rPr>
        <w:t>s</w:t>
      </w:r>
      <w:r w:rsidRPr="008E3BF7">
        <w:rPr>
          <w:rFonts w:ascii="Arial" w:hAnsi="Arial" w:cs="Arial"/>
          <w:sz w:val="20"/>
          <w:szCs w:val="20"/>
        </w:rPr>
        <w:t xml:space="preserve"> for March</w:t>
      </w:r>
      <w:r w:rsidR="00682A5F" w:rsidRPr="008E3BF7">
        <w:rPr>
          <w:rFonts w:ascii="Arial" w:hAnsi="Arial" w:cs="Arial"/>
          <w:sz w:val="20"/>
          <w:szCs w:val="20"/>
        </w:rPr>
        <w:t>-May</w:t>
      </w:r>
      <w:r w:rsidRPr="008E3BF7">
        <w:rPr>
          <w:rFonts w:ascii="Arial" w:hAnsi="Arial" w:cs="Arial"/>
          <w:sz w:val="20"/>
          <w:szCs w:val="20"/>
        </w:rPr>
        <w:t xml:space="preserve"> 2020 to the baseline forecast we get estimates of losses from COVID-related consequences. Finally</w:t>
      </w:r>
      <w:r w:rsidR="001051D0" w:rsidRPr="008E3BF7">
        <w:rPr>
          <w:rFonts w:ascii="Arial" w:hAnsi="Arial" w:cs="Arial"/>
          <w:sz w:val="20"/>
          <w:szCs w:val="20"/>
        </w:rPr>
        <w:t xml:space="preserve">, we </w:t>
      </w:r>
      <w:r w:rsidRPr="008E3BF7">
        <w:rPr>
          <w:rFonts w:ascii="Arial" w:hAnsi="Arial" w:cs="Arial"/>
          <w:sz w:val="20"/>
          <w:szCs w:val="20"/>
        </w:rPr>
        <w:t>meta-analyze our estimates</w:t>
      </w:r>
      <w:r w:rsidR="00B22546" w:rsidRPr="008E3BF7">
        <w:rPr>
          <w:rFonts w:ascii="Arial" w:hAnsi="Arial" w:cs="Arial"/>
          <w:sz w:val="20"/>
          <w:szCs w:val="20"/>
        </w:rPr>
        <w:t xml:space="preserve"> across </w:t>
      </w:r>
      <w:proofErr w:type="spellStart"/>
      <w:r w:rsidR="00B22546" w:rsidRPr="008E3BF7">
        <w:rPr>
          <w:rFonts w:ascii="Arial" w:hAnsi="Arial" w:cs="Arial"/>
          <w:sz w:val="20"/>
          <w:szCs w:val="20"/>
        </w:rPr>
        <w:t>all time</w:t>
      </w:r>
      <w:proofErr w:type="spellEnd"/>
      <w:r w:rsidR="00B22546" w:rsidRPr="008E3BF7">
        <w:rPr>
          <w:rFonts w:ascii="Arial" w:hAnsi="Arial" w:cs="Arial"/>
          <w:sz w:val="20"/>
          <w:szCs w:val="20"/>
        </w:rPr>
        <w:t xml:space="preserve"> series</w:t>
      </w:r>
      <w:r w:rsidRPr="008E3BF7">
        <w:rPr>
          <w:rFonts w:ascii="Arial" w:hAnsi="Arial" w:cs="Arial"/>
          <w:sz w:val="20"/>
          <w:szCs w:val="20"/>
        </w:rPr>
        <w:t xml:space="preserve"> to reveal</w:t>
      </w:r>
      <w:r w:rsidR="001051D0" w:rsidRPr="008E3BF7">
        <w:rPr>
          <w:rFonts w:ascii="Arial" w:hAnsi="Arial" w:cs="Arial"/>
          <w:sz w:val="20"/>
          <w:szCs w:val="20"/>
        </w:rPr>
        <w:t xml:space="preserve"> which countries and segments suffered the most (in percentage terms) </w:t>
      </w:r>
      <w:r w:rsidR="00C96D74" w:rsidRPr="008E3BF7">
        <w:rPr>
          <w:rFonts w:ascii="Arial" w:hAnsi="Arial" w:cs="Arial"/>
          <w:sz w:val="20"/>
          <w:szCs w:val="20"/>
        </w:rPr>
        <w:t xml:space="preserve">in which months </w:t>
      </w:r>
      <w:r w:rsidR="001051D0" w:rsidRPr="008E3BF7">
        <w:rPr>
          <w:rFonts w:ascii="Arial" w:hAnsi="Arial" w:cs="Arial"/>
          <w:sz w:val="20"/>
          <w:szCs w:val="20"/>
        </w:rPr>
        <w:t xml:space="preserve">based on the </w:t>
      </w:r>
      <w:r w:rsidR="00293919" w:rsidRPr="008E3BF7">
        <w:rPr>
          <w:rFonts w:ascii="Arial" w:hAnsi="Arial" w:cs="Arial"/>
          <w:sz w:val="20"/>
          <w:szCs w:val="20"/>
        </w:rPr>
        <w:t xml:space="preserve">incremental </w:t>
      </w:r>
      <w:r w:rsidR="001051D0" w:rsidRPr="008E3BF7">
        <w:rPr>
          <w:rFonts w:ascii="Arial" w:hAnsi="Arial" w:cs="Arial"/>
          <w:sz w:val="20"/>
          <w:szCs w:val="20"/>
        </w:rPr>
        <w:t>decrease observed in March</w:t>
      </w:r>
      <w:r w:rsidR="00C96D74" w:rsidRPr="008E3BF7">
        <w:rPr>
          <w:rFonts w:ascii="Arial" w:hAnsi="Arial" w:cs="Arial"/>
          <w:sz w:val="20"/>
          <w:szCs w:val="20"/>
        </w:rPr>
        <w:t>, April and May</w:t>
      </w:r>
      <w:r w:rsidR="001051D0" w:rsidRPr="008E3BF7">
        <w:rPr>
          <w:rFonts w:ascii="Arial" w:hAnsi="Arial" w:cs="Arial"/>
          <w:sz w:val="20"/>
          <w:szCs w:val="20"/>
        </w:rPr>
        <w:t>, after the borders were closed for tourists.</w:t>
      </w:r>
    </w:p>
    <w:p w14:paraId="2EA968E9" w14:textId="77777777" w:rsidR="00CC5961" w:rsidRPr="008E3BF7" w:rsidRDefault="00CC5961" w:rsidP="00237322">
      <w:pPr>
        <w:spacing w:after="0" w:line="240" w:lineRule="auto"/>
        <w:jc w:val="both"/>
        <w:rPr>
          <w:rFonts w:ascii="Arial" w:hAnsi="Arial" w:cs="Arial"/>
          <w:sz w:val="20"/>
          <w:szCs w:val="20"/>
        </w:rPr>
      </w:pPr>
    </w:p>
    <w:p w14:paraId="64E1CD9B" w14:textId="3B9EB92C" w:rsidR="00B22546" w:rsidRPr="008E3BF7" w:rsidRDefault="00B22546" w:rsidP="00237322">
      <w:pPr>
        <w:pStyle w:val="ListParagraph"/>
        <w:numPr>
          <w:ilvl w:val="0"/>
          <w:numId w:val="8"/>
        </w:numPr>
        <w:spacing w:after="0" w:line="240" w:lineRule="auto"/>
        <w:jc w:val="both"/>
        <w:rPr>
          <w:rFonts w:ascii="Arial" w:hAnsi="Arial" w:cs="Arial"/>
          <w:b/>
          <w:bCs/>
        </w:rPr>
      </w:pPr>
      <w:r w:rsidRPr="008E3BF7">
        <w:rPr>
          <w:rFonts w:ascii="Arial" w:hAnsi="Arial" w:cs="Arial"/>
          <w:b/>
          <w:bCs/>
        </w:rPr>
        <w:t>Literature review</w:t>
      </w:r>
    </w:p>
    <w:p w14:paraId="59413BA3" w14:textId="77777777" w:rsidR="00897BDB" w:rsidRPr="008E3BF7" w:rsidRDefault="00EB28C6" w:rsidP="00237322">
      <w:pPr>
        <w:spacing w:after="0" w:line="240" w:lineRule="auto"/>
        <w:ind w:firstLine="720"/>
        <w:jc w:val="both"/>
        <w:rPr>
          <w:rFonts w:ascii="Arial" w:hAnsi="Arial" w:cs="Arial"/>
          <w:sz w:val="20"/>
          <w:szCs w:val="20"/>
        </w:rPr>
      </w:pPr>
      <w:r w:rsidRPr="008E3BF7">
        <w:rPr>
          <w:rFonts w:ascii="Arial" w:hAnsi="Arial" w:cs="Arial"/>
          <w:sz w:val="20"/>
          <w:szCs w:val="20"/>
        </w:rPr>
        <w:t>There have been several important applications of causal impact analysis techniques to the hospitality and tourism research, including but not limited to the following topics:</w:t>
      </w:r>
    </w:p>
    <w:p w14:paraId="08B336C0" w14:textId="3A709852" w:rsidR="00EB28C6" w:rsidRPr="008E3BF7" w:rsidRDefault="00897BDB" w:rsidP="00237322">
      <w:pPr>
        <w:pStyle w:val="ListParagraph"/>
        <w:numPr>
          <w:ilvl w:val="0"/>
          <w:numId w:val="12"/>
        </w:numPr>
        <w:spacing w:after="0" w:line="240" w:lineRule="auto"/>
        <w:jc w:val="both"/>
        <w:rPr>
          <w:rFonts w:ascii="Arial" w:hAnsi="Arial" w:cs="Arial"/>
          <w:sz w:val="20"/>
          <w:szCs w:val="20"/>
        </w:rPr>
      </w:pPr>
      <w:r w:rsidRPr="008E3BF7">
        <w:rPr>
          <w:rFonts w:ascii="Arial" w:hAnsi="Arial" w:cs="Arial"/>
          <w:sz w:val="20"/>
          <w:szCs w:val="20"/>
        </w:rPr>
        <w:t>I</w:t>
      </w:r>
      <w:r w:rsidR="00EB28C6" w:rsidRPr="008E3BF7">
        <w:rPr>
          <w:rFonts w:ascii="Arial" w:hAnsi="Arial" w:cs="Arial"/>
          <w:sz w:val="20"/>
          <w:szCs w:val="20"/>
        </w:rPr>
        <w:t xml:space="preserve">mpact of mega-sport events on tourist arrivals </w:t>
      </w:r>
      <w:r w:rsidR="00867B38" w:rsidRPr="008E3BF7">
        <w:rPr>
          <w:rFonts w:ascii="Arial" w:hAnsi="Arial" w:cs="Arial"/>
          <w:sz w:val="20"/>
          <w:szCs w:val="20"/>
        </w:rPr>
        <w:fldChar w:fldCharType="begin" w:fldLock="1"/>
      </w:r>
      <w:r w:rsidR="00EE5663" w:rsidRPr="008E3BF7">
        <w:rPr>
          <w:rFonts w:ascii="Arial" w:hAnsi="Arial" w:cs="Arial"/>
          <w:sz w:val="20"/>
          <w:szCs w:val="20"/>
        </w:rPr>
        <w:instrText>ADDIN CSL_CITATION {"citationItems":[{"id":"ITEM-1","itemData":{"author":[{"dropping-particle":"","family":"Fourie","given":"Johan","non-dropping-particle":"","parse-names":false,"suffix":""},{"dropping-particle":"","family":"Santana-Gallego","given":"Mar\\'\\ia","non-dropping-particle":"","parse-names":false,"suffix":""}],"container-title":"Tourism management","id":"ITEM-1","issue":"6","issued":{"date-parts":[["2011"]]},"page":"1364-1370","publisher":"Elsevier","title":"The impact of mega-sport events on tourist arrivals","type":"article-journal","volume":"32"},"uris":["http://www.mendeley.com/documents/?uuid=69a9e1af-5b3b-46c5-bd0f-df13622d1a0a"]}],"mendeley":{"formattedCitation":"(Fourie and Santana-Gallego, 2011)","plainTextFormattedCitation":"(Fourie and Santana-Gallego, 2011)","previouslyFormattedCitation":"(Fourie and Santana-Gallego, 2011)"},"properties":{"noteIndex":0},"schema":"https://github.com/citation-style-language/schema/raw/master/csl-citation.json"}</w:instrText>
      </w:r>
      <w:r w:rsidR="00867B38" w:rsidRPr="008E3BF7">
        <w:rPr>
          <w:rFonts w:ascii="Arial" w:hAnsi="Arial" w:cs="Arial"/>
          <w:sz w:val="20"/>
          <w:szCs w:val="20"/>
        </w:rPr>
        <w:fldChar w:fldCharType="separate"/>
      </w:r>
      <w:r w:rsidR="00867B38" w:rsidRPr="008E3BF7">
        <w:rPr>
          <w:rFonts w:ascii="Arial" w:hAnsi="Arial" w:cs="Arial"/>
          <w:noProof/>
          <w:sz w:val="20"/>
          <w:szCs w:val="20"/>
        </w:rPr>
        <w:t>(Fourie and Santana-Gallego, 2011)</w:t>
      </w:r>
      <w:r w:rsidR="00867B38" w:rsidRPr="008E3BF7">
        <w:rPr>
          <w:rFonts w:ascii="Arial" w:hAnsi="Arial" w:cs="Arial"/>
          <w:sz w:val="20"/>
          <w:szCs w:val="20"/>
        </w:rPr>
        <w:fldChar w:fldCharType="end"/>
      </w:r>
      <w:r w:rsidR="00491ECD" w:rsidRPr="008E3BF7">
        <w:rPr>
          <w:rFonts w:ascii="Arial" w:hAnsi="Arial" w:cs="Arial"/>
          <w:sz w:val="20"/>
          <w:szCs w:val="20"/>
        </w:rPr>
        <w:t>.</w:t>
      </w:r>
      <w:r w:rsidR="00EB28C6" w:rsidRPr="008E3BF7">
        <w:rPr>
          <w:rFonts w:ascii="Arial" w:hAnsi="Arial" w:cs="Arial"/>
          <w:sz w:val="20"/>
          <w:szCs w:val="20"/>
        </w:rPr>
        <w:t xml:space="preserve"> Using a standard gravity model of bilateral tourism flows between 200 </w:t>
      </w:r>
      <w:r w:rsidR="00EB28C6" w:rsidRPr="008E3BF7">
        <w:rPr>
          <w:rFonts w:ascii="Arial" w:hAnsi="Arial" w:cs="Arial"/>
          <w:sz w:val="20"/>
          <w:szCs w:val="20"/>
        </w:rPr>
        <w:lastRenderedPageBreak/>
        <w:t>countries from 1995 to 2006, the authors have shown that mega-sport</w:t>
      </w:r>
      <w:r w:rsidR="005412DF" w:rsidRPr="008E3BF7">
        <w:rPr>
          <w:rFonts w:ascii="Arial" w:hAnsi="Arial" w:cs="Arial"/>
          <w:sz w:val="20"/>
          <w:szCs w:val="20"/>
        </w:rPr>
        <w:t xml:space="preserve"> </w:t>
      </w:r>
      <w:r w:rsidR="00EB28C6" w:rsidRPr="008E3BF7">
        <w:rPr>
          <w:rFonts w:ascii="Arial" w:hAnsi="Arial" w:cs="Arial"/>
          <w:sz w:val="20"/>
          <w:szCs w:val="20"/>
        </w:rPr>
        <w:t>events promote tourism but the gain varies depending on the type of mega-event, the participating countries and whether the event is held during the peak season or off-season.</w:t>
      </w:r>
    </w:p>
    <w:p w14:paraId="669FA83C" w14:textId="680CFE34" w:rsidR="00EB28C6" w:rsidRPr="008E3BF7" w:rsidRDefault="00EB28C6" w:rsidP="00237322">
      <w:pPr>
        <w:pStyle w:val="ListParagraph"/>
        <w:numPr>
          <w:ilvl w:val="0"/>
          <w:numId w:val="12"/>
        </w:numPr>
        <w:spacing w:after="0" w:line="240" w:lineRule="auto"/>
        <w:jc w:val="both"/>
        <w:rPr>
          <w:rFonts w:ascii="Arial" w:hAnsi="Arial" w:cs="Arial"/>
          <w:sz w:val="20"/>
          <w:szCs w:val="20"/>
        </w:rPr>
      </w:pPr>
      <w:r w:rsidRPr="008E3BF7">
        <w:rPr>
          <w:rFonts w:ascii="Arial" w:hAnsi="Arial" w:cs="Arial"/>
          <w:sz w:val="20"/>
          <w:szCs w:val="20"/>
        </w:rPr>
        <w:t xml:space="preserve">Impact of terrorism on tourism. Arana and León </w:t>
      </w:r>
      <w:r w:rsidR="00EE5663" w:rsidRPr="008E3BF7">
        <w:rPr>
          <w:rFonts w:ascii="Arial" w:hAnsi="Arial" w:cs="Arial"/>
          <w:sz w:val="20"/>
          <w:szCs w:val="20"/>
        </w:rPr>
        <w:fldChar w:fldCharType="begin" w:fldLock="1"/>
      </w:r>
      <w:r w:rsidR="00EE5663" w:rsidRPr="008E3BF7">
        <w:rPr>
          <w:rFonts w:ascii="Arial" w:hAnsi="Arial" w:cs="Arial"/>
          <w:sz w:val="20"/>
          <w:szCs w:val="20"/>
        </w:rPr>
        <w:instrText>ADDIN CSL_CITATION {"citationItems":[{"id":"ITEM-1","itemData":{"author":[{"dropping-particle":"","family":"Arana","given":"Jorge E","non-dropping-particle":"","parse-names":false,"suffix":""},{"dropping-particle":"","family":"León","given":"Carmelo J","non-dropping-particle":"","parse-names":false,"suffix":""}],"container-title":"Annals of tourism research","id":"ITEM-1","issue":"2","issued":{"date-parts":[["2008"]]},"page":"299-315","publisher":"Elsevier","title":"The impact of terrorism on tourism demand","type":"article-journal","volume":"35"},"uris":["http://www.mendeley.com/documents/?uuid=0776cfa7-c8a3-4055-8a18-218242e9a18a"]}],"mendeley":{"formattedCitation":"(Arana and León, 2008)","manualFormatting":"(2008)","plainTextFormattedCitation":"(Arana and León, 2008)","previouslyFormattedCitation":"(Arana and León, 2008)"},"properties":{"noteIndex":0},"schema":"https://github.com/citation-style-language/schema/raw/master/csl-citation.json"}</w:instrText>
      </w:r>
      <w:r w:rsidR="00EE5663" w:rsidRPr="008E3BF7">
        <w:rPr>
          <w:rFonts w:ascii="Arial" w:hAnsi="Arial" w:cs="Arial"/>
          <w:sz w:val="20"/>
          <w:szCs w:val="20"/>
        </w:rPr>
        <w:fldChar w:fldCharType="separate"/>
      </w:r>
      <w:r w:rsidR="00EE5663" w:rsidRPr="008E3BF7">
        <w:rPr>
          <w:rFonts w:ascii="Arial" w:hAnsi="Arial" w:cs="Arial"/>
          <w:noProof/>
          <w:sz w:val="20"/>
          <w:szCs w:val="20"/>
        </w:rPr>
        <w:t>(2008)</w:t>
      </w:r>
      <w:r w:rsidR="00EE5663" w:rsidRPr="008E3BF7">
        <w:rPr>
          <w:rFonts w:ascii="Arial" w:hAnsi="Arial" w:cs="Arial"/>
          <w:sz w:val="20"/>
          <w:szCs w:val="20"/>
        </w:rPr>
        <w:fldChar w:fldCharType="end"/>
      </w:r>
      <w:r w:rsidRPr="008E3BF7">
        <w:rPr>
          <w:rFonts w:ascii="Arial" w:hAnsi="Arial" w:cs="Arial"/>
          <w:sz w:val="20"/>
          <w:szCs w:val="20"/>
        </w:rPr>
        <w:t xml:space="preserve"> studied short-run impacts of the September 11 attacks in New York on tourist preferences for competing destinations in the Mediterranean and the Canary Islands using a stated preference model based on two different samples taken at different points in time in relation to terrorist attacks. It was shown that the attacks caused a shock to tourists’ utility, and a change in the image profile of destinations. </w:t>
      </w:r>
    </w:p>
    <w:p w14:paraId="1605FBA9" w14:textId="3C805722" w:rsidR="00EB28C6" w:rsidRPr="008E3BF7" w:rsidRDefault="00EB28C6" w:rsidP="00237322">
      <w:pPr>
        <w:pStyle w:val="ListParagraph"/>
        <w:numPr>
          <w:ilvl w:val="0"/>
          <w:numId w:val="12"/>
        </w:numPr>
        <w:spacing w:after="0" w:line="240" w:lineRule="auto"/>
        <w:jc w:val="both"/>
        <w:rPr>
          <w:rFonts w:ascii="Arial" w:hAnsi="Arial" w:cs="Arial"/>
          <w:sz w:val="20"/>
          <w:szCs w:val="20"/>
        </w:rPr>
      </w:pPr>
      <w:r w:rsidRPr="008E3BF7">
        <w:rPr>
          <w:rFonts w:ascii="Arial" w:hAnsi="Arial" w:cs="Arial"/>
          <w:sz w:val="20"/>
          <w:szCs w:val="20"/>
        </w:rPr>
        <w:t xml:space="preserve">Impact of the sharing economy on the hotel industry.  </w:t>
      </w:r>
      <w:proofErr w:type="spellStart"/>
      <w:r w:rsidRPr="008E3BF7">
        <w:rPr>
          <w:rFonts w:ascii="Arial" w:hAnsi="Arial" w:cs="Arial"/>
          <w:sz w:val="20"/>
          <w:szCs w:val="20"/>
        </w:rPr>
        <w:t>Zevras</w:t>
      </w:r>
      <w:proofErr w:type="spellEnd"/>
      <w:r w:rsidRPr="008E3BF7">
        <w:rPr>
          <w:rFonts w:ascii="Arial" w:hAnsi="Arial" w:cs="Arial"/>
          <w:sz w:val="20"/>
          <w:szCs w:val="20"/>
        </w:rPr>
        <w:t xml:space="preserve"> et al. </w:t>
      </w:r>
      <w:r w:rsidR="00EE5663"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Zervas","given":"Georgios","non-dropping-particle":"","parse-names":false,"suffix":""},{"dropping-particle":"","family":"Proserpio","given":"Davide","non-dropping-particle":"","parse-names":false,"suffix":""},{"dropping-particle":"","family":"Byers","given":"John W","non-dropping-particle":"","parse-names":false,"suffix":""}],"container-title":"Proceedings of the Sixteenth ACM Conference on Economics and Computation","id":"ITEM-1","issued":{"date-parts":[["2015"]]},"page":"637","title":"The impact of the sharing economy on the hotel industry: Evidence from Airbnb's entry into the Texas market","type":"paper-conference"},"uris":["http://www.mendeley.com/documents/?uuid=11771387-6c8b-47ea-afd7-4aefdc294c0b"]}],"mendeley":{"formattedCitation":"(Zervas, Proserpio and Byers, 2015)","manualFormatting":"(2015)","plainTextFormattedCitation":"(Zervas, Proserpio and Byers, 2015)","previouslyFormattedCitation":"(Zervas et al., 2015)"},"properties":{"noteIndex":0},"schema":"https://github.com/citation-style-language/schema/raw/master/csl-citation.json"}</w:instrText>
      </w:r>
      <w:r w:rsidR="00EE5663" w:rsidRPr="008E3BF7">
        <w:rPr>
          <w:rFonts w:ascii="Arial" w:hAnsi="Arial" w:cs="Arial"/>
          <w:sz w:val="20"/>
          <w:szCs w:val="20"/>
        </w:rPr>
        <w:fldChar w:fldCharType="separate"/>
      </w:r>
      <w:r w:rsidR="00EE5663" w:rsidRPr="008E3BF7">
        <w:rPr>
          <w:rFonts w:ascii="Arial" w:hAnsi="Arial" w:cs="Arial"/>
          <w:noProof/>
          <w:sz w:val="20"/>
          <w:szCs w:val="20"/>
        </w:rPr>
        <w:t>(2015)</w:t>
      </w:r>
      <w:r w:rsidR="00EE5663" w:rsidRPr="008E3BF7">
        <w:rPr>
          <w:rFonts w:ascii="Arial" w:hAnsi="Arial" w:cs="Arial"/>
          <w:sz w:val="20"/>
          <w:szCs w:val="20"/>
        </w:rPr>
        <w:fldChar w:fldCharType="end"/>
      </w:r>
      <w:r w:rsidRPr="008E3BF7">
        <w:rPr>
          <w:rFonts w:ascii="Arial" w:hAnsi="Arial" w:cs="Arial"/>
          <w:sz w:val="20"/>
          <w:szCs w:val="20"/>
        </w:rPr>
        <w:t xml:space="preserve"> identified Airbnb's causal impact on hotel room revenue in Texas by </w:t>
      </w:r>
      <w:r w:rsidR="00711BCE" w:rsidRPr="008E3BF7">
        <w:rPr>
          <w:rFonts w:ascii="Arial" w:hAnsi="Arial" w:cs="Arial"/>
          <w:sz w:val="20"/>
          <w:szCs w:val="20"/>
        </w:rPr>
        <w:t>exploiting the</w:t>
      </w:r>
      <w:r w:rsidRPr="008E3BF7">
        <w:rPr>
          <w:rFonts w:ascii="Arial" w:hAnsi="Arial" w:cs="Arial"/>
          <w:sz w:val="20"/>
          <w:szCs w:val="20"/>
        </w:rPr>
        <w:t xml:space="preserve"> significant spatiotemporal variation in the patterns of Airbnb adoption across </w:t>
      </w:r>
      <w:r w:rsidR="00711BCE" w:rsidRPr="008E3BF7">
        <w:rPr>
          <w:rFonts w:ascii="Arial" w:hAnsi="Arial" w:cs="Arial"/>
          <w:sz w:val="20"/>
          <w:szCs w:val="20"/>
        </w:rPr>
        <w:t>city level</w:t>
      </w:r>
      <w:r w:rsidRPr="008E3BF7">
        <w:rPr>
          <w:rFonts w:ascii="Arial" w:hAnsi="Arial" w:cs="Arial"/>
          <w:sz w:val="20"/>
          <w:szCs w:val="20"/>
        </w:rPr>
        <w:t xml:space="preserve"> markets, which allowed them to use a difference-in-differences empirical strategy.</w:t>
      </w:r>
    </w:p>
    <w:p w14:paraId="369CB8F0" w14:textId="2F3DE11E" w:rsidR="00004443" w:rsidRPr="008E3BF7" w:rsidRDefault="00EB28C6"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So far there have been </w:t>
      </w:r>
      <w:r w:rsidR="005412DF" w:rsidRPr="008E3BF7">
        <w:rPr>
          <w:rFonts w:ascii="Arial" w:hAnsi="Arial" w:cs="Arial"/>
          <w:sz w:val="20"/>
          <w:szCs w:val="20"/>
        </w:rPr>
        <w:t>relatively</w:t>
      </w:r>
      <w:r w:rsidRPr="008E3BF7">
        <w:rPr>
          <w:rFonts w:ascii="Arial" w:hAnsi="Arial" w:cs="Arial"/>
          <w:sz w:val="20"/>
          <w:szCs w:val="20"/>
        </w:rPr>
        <w:t xml:space="preserve"> few studies </w:t>
      </w:r>
      <w:r w:rsidR="00897BDB" w:rsidRPr="008E3BF7">
        <w:rPr>
          <w:rFonts w:ascii="Arial" w:hAnsi="Arial" w:cs="Arial"/>
          <w:sz w:val="20"/>
          <w:szCs w:val="20"/>
        </w:rPr>
        <w:t>on consequences</w:t>
      </w:r>
      <w:r w:rsidRPr="008E3BF7">
        <w:rPr>
          <w:rFonts w:ascii="Arial" w:hAnsi="Arial" w:cs="Arial"/>
          <w:sz w:val="20"/>
          <w:szCs w:val="20"/>
        </w:rPr>
        <w:t xml:space="preserve"> of COVID-19 for the hospitality industry. Nicola et al. </w:t>
      </w:r>
      <w:r w:rsidR="00EE5663" w:rsidRPr="008E3BF7">
        <w:rPr>
          <w:rFonts w:ascii="Arial" w:hAnsi="Arial" w:cs="Arial"/>
          <w:b/>
          <w:bCs/>
          <w:sz w:val="20"/>
          <w:szCs w:val="20"/>
        </w:rPr>
        <w:fldChar w:fldCharType="begin" w:fldLock="1"/>
      </w:r>
      <w:r w:rsidR="008E3BF7" w:rsidRPr="008E3BF7">
        <w:rPr>
          <w:rFonts w:ascii="Arial" w:hAnsi="Arial" w:cs="Arial"/>
          <w:b/>
          <w:bCs/>
          <w:sz w:val="20"/>
          <w:szCs w:val="20"/>
        </w:rPr>
        <w:instrText>ADDIN CSL_CITATION {"citationItems":[{"id":"ITEM-1","itemData":{"author":[{"dropping-particle":"","family":"Nicola","given":"Maria","non-dropping-particle":"","parse-names":false,"suffix":""},{"dropping-particle":"","family":"Alsafi","given":"Zaid","non-dropping-particle":"","parse-names":false,"suffix":""},{"dropping-particle":"","family":"Sohrabi","given":"Catrin","non-dropping-particle":"","parse-names":false,"suffix":""},{"dropping-particle":"","family":"Kerwan","given":"Ahmed","non-dropping-particle":"","parse-names":false,"suffix":""},{"dropping-particle":"","family":"Al-Jabir","given":"Ahmed","non-dropping-particle":"","parse-names":false,"suffix":""},{"dropping-particle":"","family":"Iosifidis","given":"Christos","non-dropping-particle":"","parse-names":false,"suffix":""},{"dropping-particle":"","family":"Agha","given":"Maliha","non-dropping-particle":"","parse-names":false,"suffix":""},{"dropping-particle":"","family":"Agha","given":"Riaz","non-dropping-particle":"","parse-names":false,"suffix":""}],"container-title":"International Journal of Surgery","id":"ITEM-1","issued":{"date-parts":[["2020"]]},"publisher":"Elsevier","title":"The socio-economic implications of the coronavirus and COVID-19 pandemic: a review","type":"article-journal"},"uris":["http://www.mendeley.com/documents/?uuid=08441aaf-efa2-4db3-8212-1e3e055af311"]}],"mendeley":{"formattedCitation":"(Nicola &lt;i&gt;et al.&lt;/i&gt;, 2020)","manualFormatting":"(2020)","plainTextFormattedCitation":"(Nicola et al., 2020)","previouslyFormattedCitation":"(Nicola et al., 2020)"},"properties":{"noteIndex":0},"schema":"https://github.com/citation-style-language/schema/raw/master/csl-citation.json"}</w:instrText>
      </w:r>
      <w:r w:rsidR="00EE5663" w:rsidRPr="008E3BF7">
        <w:rPr>
          <w:rFonts w:ascii="Arial" w:hAnsi="Arial" w:cs="Arial"/>
          <w:b/>
          <w:bCs/>
          <w:sz w:val="20"/>
          <w:szCs w:val="20"/>
        </w:rPr>
        <w:fldChar w:fldCharType="separate"/>
      </w:r>
      <w:r w:rsidR="00EE5663" w:rsidRPr="008E3BF7">
        <w:rPr>
          <w:rFonts w:ascii="Arial" w:hAnsi="Arial" w:cs="Arial"/>
          <w:bCs/>
          <w:noProof/>
          <w:sz w:val="20"/>
          <w:szCs w:val="20"/>
        </w:rPr>
        <w:t>(2020)</w:t>
      </w:r>
      <w:r w:rsidR="00EE5663" w:rsidRPr="008E3BF7">
        <w:rPr>
          <w:rFonts w:ascii="Arial" w:hAnsi="Arial" w:cs="Arial"/>
          <w:b/>
          <w:bCs/>
          <w:sz w:val="20"/>
          <w:szCs w:val="20"/>
        </w:rPr>
        <w:fldChar w:fldCharType="end"/>
      </w:r>
      <w:r w:rsidR="00EE5663" w:rsidRPr="008E3BF7">
        <w:rPr>
          <w:rFonts w:ascii="Arial" w:hAnsi="Arial" w:cs="Arial"/>
          <w:b/>
          <w:bCs/>
          <w:sz w:val="20"/>
          <w:szCs w:val="20"/>
        </w:rPr>
        <w:t xml:space="preserve"> </w:t>
      </w:r>
      <w:r w:rsidRPr="008E3BF7">
        <w:rPr>
          <w:rFonts w:ascii="Arial" w:hAnsi="Arial" w:cs="Arial"/>
          <w:sz w:val="20"/>
          <w:szCs w:val="20"/>
        </w:rPr>
        <w:t xml:space="preserve">reviewed socio-economic implications of the COVID-19 pandemic. A  paper by </w:t>
      </w:r>
      <w:proofErr w:type="spellStart"/>
      <w:r w:rsidRPr="008E3BF7">
        <w:rPr>
          <w:rFonts w:ascii="Arial" w:hAnsi="Arial" w:cs="Arial"/>
          <w:sz w:val="20"/>
          <w:szCs w:val="20"/>
        </w:rPr>
        <w:t>Gössling</w:t>
      </w:r>
      <w:proofErr w:type="spellEnd"/>
      <w:r w:rsidRPr="008E3BF7">
        <w:rPr>
          <w:rFonts w:ascii="Arial" w:hAnsi="Arial" w:cs="Arial"/>
          <w:sz w:val="20"/>
          <w:szCs w:val="20"/>
        </w:rPr>
        <w:t xml:space="preserve"> et al. </w:t>
      </w:r>
      <w:r w:rsidR="00EE5663"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Gössling","given":"Stefan","non-dropping-particle":"","parse-names":false,"suffix":""},{"dropping-particle":"","family":"Scott","given":"Daniel","non-dropping-particle":"","parse-names":false,"suffix":""},{"dropping-particle":"","family":"Hall","given":"C Michael","non-dropping-particle":"","parse-names":false,"suffix":""}],"container-title":"Journal of Sustainable Tourism","id":"ITEM-1","issued":{"date-parts":[["2020"]]},"page":"1-20","publisher":"Taylor &amp; Francis","title":"Pandemics, tourism and global change: a rapid assessment of COVID-19","type":"article-journal"},"uris":["http://www.mendeley.com/documents/?uuid=2852483e-0621-4d55-b0b3-583de7775236"]}],"mendeley":{"formattedCitation":"(Gössling, Scott and Hall, 2020)","manualFormatting":"(2020)","plainTextFormattedCitation":"(Gössling, Scott and Hall, 2020)","previouslyFormattedCitation":"(Gössling et al., 2020)"},"properties":{"noteIndex":0},"schema":"https://github.com/citation-style-language/schema/raw/master/csl-citation.json"}</w:instrText>
      </w:r>
      <w:r w:rsidR="00EE5663" w:rsidRPr="008E3BF7">
        <w:rPr>
          <w:rFonts w:ascii="Arial" w:hAnsi="Arial" w:cs="Arial"/>
          <w:sz w:val="20"/>
          <w:szCs w:val="20"/>
        </w:rPr>
        <w:fldChar w:fldCharType="separate"/>
      </w:r>
      <w:r w:rsidR="00EE5663" w:rsidRPr="008E3BF7">
        <w:rPr>
          <w:rFonts w:ascii="Arial" w:hAnsi="Arial" w:cs="Arial"/>
          <w:noProof/>
          <w:sz w:val="20"/>
          <w:szCs w:val="20"/>
        </w:rPr>
        <w:t>(2020)</w:t>
      </w:r>
      <w:r w:rsidR="00EE5663" w:rsidRPr="008E3BF7">
        <w:rPr>
          <w:rFonts w:ascii="Arial" w:hAnsi="Arial" w:cs="Arial"/>
          <w:sz w:val="20"/>
          <w:szCs w:val="20"/>
        </w:rPr>
        <w:fldChar w:fldCharType="end"/>
      </w:r>
      <w:r w:rsidR="00EE5663" w:rsidRPr="008E3BF7">
        <w:rPr>
          <w:rFonts w:ascii="Arial" w:hAnsi="Arial" w:cs="Arial"/>
          <w:sz w:val="20"/>
          <w:szCs w:val="20"/>
        </w:rPr>
        <w:t xml:space="preserve"> </w:t>
      </w:r>
      <w:r w:rsidRPr="008E3BF7">
        <w:rPr>
          <w:rFonts w:ascii="Arial" w:hAnsi="Arial" w:cs="Arial"/>
          <w:sz w:val="20"/>
          <w:szCs w:val="20"/>
        </w:rPr>
        <w:t xml:space="preserve">presents an overview of challenges faced specifically by the tourism industry and  discusses why COVID-19 is an analogue to the ongoing climate crisis, and why there is a need to reconsider the volume growth tourism model advocated by various tourism organizations. </w:t>
      </w:r>
      <w:r w:rsidR="00004443" w:rsidRPr="008E3BF7">
        <w:rPr>
          <w:rFonts w:ascii="Arial" w:hAnsi="Arial" w:cs="Arial"/>
          <w:noProof/>
          <w:sz w:val="20"/>
          <w:szCs w:val="20"/>
        </w:rPr>
        <w:t>Baum and Hai</w:t>
      </w:r>
      <w:r w:rsidR="00004443" w:rsidRPr="008E3BF7">
        <w:rPr>
          <w:rFonts w:ascii="Arial" w:hAnsi="Arial" w:cs="Arial"/>
          <w:sz w:val="20"/>
          <w:szCs w:val="20"/>
        </w:rPr>
        <w:t xml:space="preserve"> </w:t>
      </w:r>
      <w:r w:rsidR="00004443" w:rsidRPr="008E3BF7">
        <w:rPr>
          <w:rFonts w:ascii="Arial" w:hAnsi="Arial" w:cs="Arial"/>
          <w:sz w:val="20"/>
          <w:szCs w:val="20"/>
        </w:rPr>
        <w:fldChar w:fldCharType="begin" w:fldLock="1"/>
      </w:r>
      <w:r w:rsidR="00004443" w:rsidRPr="008E3BF7">
        <w:rPr>
          <w:rFonts w:ascii="Arial" w:hAnsi="Arial" w:cs="Arial"/>
          <w:sz w:val="20"/>
          <w:szCs w:val="20"/>
        </w:rPr>
        <w:instrText>ADDIN CSL_CITATION {"citationItems":[{"id":"ITEM-1","itemData":{"author":[{"dropping-particle":"","family":"Baum","given":"Tom","non-dropping-particle":"","parse-names":false,"suffix":""},{"dropping-particle":"","family":"Hai","given":"Nguyen Thi Thanh","non-dropping-particle":"","parse-names":false,"suffix":""}],"container-title":"International Journal of Contemporary Hospitality Management","id":"ITEM-1","issued":{"date-parts":[["2020"]]},"publisher":"Emerald Publishing Limited","title":"Hospitality, tourism, human rights and the impact of COVID-19","type":"article-journal"},"uris":["http://www.mendeley.com/documents/?uuid=52dcf2fb-e051-4c6e-ae6f-6eb674b078ce"]}],"mendeley":{"formattedCitation":"(Baum and Hai, 2020)","manualFormatting":"(2020)","plainTextFormattedCitation":"(Baum and Hai, 2020)","previouslyFormattedCitation":"(Baum and Hai, 2020)"},"properties":{"noteIndex":0},"schema":"https://github.com/citation-style-language/schema/raw/master/csl-citation.json"}</w:instrText>
      </w:r>
      <w:r w:rsidR="00004443" w:rsidRPr="008E3BF7">
        <w:rPr>
          <w:rFonts w:ascii="Arial" w:hAnsi="Arial" w:cs="Arial"/>
          <w:sz w:val="20"/>
          <w:szCs w:val="20"/>
        </w:rPr>
        <w:fldChar w:fldCharType="separate"/>
      </w:r>
      <w:r w:rsidR="00004443" w:rsidRPr="008E3BF7">
        <w:rPr>
          <w:rFonts w:ascii="Arial" w:hAnsi="Arial" w:cs="Arial"/>
          <w:noProof/>
          <w:sz w:val="20"/>
          <w:szCs w:val="20"/>
        </w:rPr>
        <w:t>(2020)</w:t>
      </w:r>
      <w:r w:rsidR="00004443" w:rsidRPr="008E3BF7">
        <w:rPr>
          <w:rFonts w:ascii="Arial" w:hAnsi="Arial" w:cs="Arial"/>
          <w:sz w:val="20"/>
          <w:szCs w:val="20"/>
        </w:rPr>
        <w:fldChar w:fldCharType="end"/>
      </w:r>
      <w:r w:rsidR="00004443" w:rsidRPr="008E3BF7">
        <w:rPr>
          <w:rFonts w:ascii="Arial" w:hAnsi="Arial" w:cs="Arial"/>
          <w:sz w:val="20"/>
          <w:szCs w:val="20"/>
        </w:rPr>
        <w:t xml:space="preserve"> provide a comprehensive list of r</w:t>
      </w:r>
      <w:r w:rsidR="00004443" w:rsidRPr="008E3BF7">
        <w:rPr>
          <w:rFonts w:ascii="Arial" w:hAnsi="Arial" w:cs="Arial"/>
          <w:sz w:val="20"/>
          <w:szCs w:val="20"/>
          <w:shd w:val="clear" w:color="auto" w:fill="FFFFFF"/>
        </w:rPr>
        <w:t>ights to participate in hospitality and tourism that were affected on a scale unprecedented before the coronavirus outbreak.</w:t>
      </w:r>
      <w:r w:rsidR="00004443" w:rsidRPr="008E3BF7">
        <w:rPr>
          <w:rFonts w:ascii="Arial" w:hAnsi="Arial" w:cs="Arial"/>
          <w:sz w:val="20"/>
          <w:szCs w:val="20"/>
        </w:rPr>
        <w:t xml:space="preserve"> </w:t>
      </w:r>
      <w:r w:rsidRPr="008E3BF7">
        <w:rPr>
          <w:rFonts w:ascii="Arial" w:hAnsi="Arial" w:cs="Arial"/>
          <w:sz w:val="20"/>
          <w:szCs w:val="20"/>
        </w:rPr>
        <w:t xml:space="preserve">These papers </w:t>
      </w:r>
      <w:r w:rsidR="005412DF" w:rsidRPr="008E3BF7">
        <w:rPr>
          <w:rFonts w:ascii="Arial" w:hAnsi="Arial" w:cs="Arial"/>
          <w:sz w:val="20"/>
          <w:szCs w:val="20"/>
        </w:rPr>
        <w:t xml:space="preserve">have </w:t>
      </w:r>
      <w:r w:rsidRPr="008E3BF7">
        <w:rPr>
          <w:rFonts w:ascii="Arial" w:hAnsi="Arial" w:cs="Arial"/>
          <w:sz w:val="20"/>
          <w:szCs w:val="20"/>
        </w:rPr>
        <w:t xml:space="preserve">structured </w:t>
      </w:r>
      <w:r w:rsidR="005A4C02" w:rsidRPr="008E3BF7">
        <w:rPr>
          <w:rFonts w:ascii="Arial" w:hAnsi="Arial" w:cs="Arial"/>
          <w:sz w:val="20"/>
          <w:szCs w:val="20"/>
        </w:rPr>
        <w:t xml:space="preserve">and discussed </w:t>
      </w:r>
      <w:r w:rsidRPr="008E3BF7">
        <w:rPr>
          <w:rFonts w:ascii="Arial" w:hAnsi="Arial" w:cs="Arial"/>
          <w:sz w:val="20"/>
          <w:szCs w:val="20"/>
        </w:rPr>
        <w:t xml:space="preserve">some scattered information that was published by mass media and consulting companies. </w:t>
      </w:r>
      <w:r w:rsidR="00491ECD" w:rsidRPr="008E3BF7">
        <w:rPr>
          <w:rFonts w:ascii="Arial" w:hAnsi="Arial" w:cs="Arial"/>
          <w:sz w:val="20"/>
          <w:szCs w:val="20"/>
        </w:rPr>
        <w:t xml:space="preserve">Duarte </w:t>
      </w:r>
      <w:r w:rsidR="00004443" w:rsidRPr="008E3BF7">
        <w:rPr>
          <w:rFonts w:ascii="Arial" w:hAnsi="Arial" w:cs="Arial"/>
          <w:sz w:val="20"/>
          <w:szCs w:val="20"/>
        </w:rPr>
        <w:t xml:space="preserve">Alonso et al. </w:t>
      </w:r>
      <w:r w:rsidR="00491ECD"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{"citationItems":[{"id":"ITEM-1","itemData":{"DOI":"https://doi.org/10.1016/j.ijhm.2020.102654","ISSN":"0278-4319","abstract":"Drawing on the theory of resilience, and on an international sample of 45 predominantly small hospitality businesses, this exploratory study extends knowledge about the key concerns, ways of coping, and the changes and adjustments undertaken by these firms’ owners and managers during the COVID-19 outbreak. The various emergent relationships between the findings and the considered conceptual underpinnings of the literature on resilience, revealed nine theoretical dimensions. These dimensions critically illuminate and extend understanding concerning the actions and alternatives owners-managers resorted to when confronted with an extreme context. For instance, with financial impacts and uncertainty being predominant issues among participants, over one-third indicated actioning alternative measures to create much-needed revenue streams, and preparing for a new post-COVID-19 operational regime, respectively. Furthermore, 60 percent recognised making changes to the day-to-day running of the business to respond to initial impacts, or biding time in anticipation of a changing business and legal environment.","author":[{"dropping-particle":"","family":"Duarte Alonso","given":"Abel","non-dropping-particle":"","parse-names":false,"suffix":""},{"dropping-particle":"","family":"Kok","given":"Seng Kiat","non-dropping-particle":"","parse-names":false,"suffix":""},{"dropping-particle":"","family":"Bressan","given":"Alessandro","non-dropping-particle":"","parse-names":false,"suffix":""},{"dropping-particle":"","family":"O’Shea","given":"Michelle","non-dropping-particle":"","parse-names":false,"suffix":""},{"dropping-particle":"","family":"Sakellarios","given":"Nikolaos","non-dropping-particle":"","parse-names":false,"suffix":""},{"dropping-particle":"","family":"Koresis","given":"Alex","non-dropping-particle":"","parse-names":false,"suffix":""},{"dropping-particle":"","family":"Buitrago Solis","given":"Maria Alejandra","non-dropping-particle":"","parse-names":false,"suffix":""},{"dropping-particle":"","family":"Santoni","given":"Leonardo J","non-dropping-particle":"","parse-names":false,"suffix":""}],"container-title":"International Journal of Hospitality Management","id":"ITEM-1","issued":{"date-parts":[["2020"]]},"page":"102654","title":"COVID-19, aftermath, impacts, and hospitality firms: An international perspective","type":"article-journal","volume":"91"},"uris":["http://www.mendeley.com/documents/?uuid=63d71ef8-1bad-405f-adbc-a600f5eff162"]}],"mendeley":{"formattedCitation":"(Duarte Alonso &lt;i&gt;et al.&lt;/i&gt;, 2020)","manualFormatting":"(2020)","plainTextFormattedCitation":"(Duarte Alonso et al., 2020)","previouslyFormattedCitation":"(Duarte Alonso et al., 2020)"},"properties":{"noteIndex":0},"schema":"https://github.com/citation-style-language/schema/raw/master/csl-citation.json"}</w:instrText>
      </w:r>
      <w:r w:rsidR="00491ECD" w:rsidRPr="008E3BF7">
        <w:rPr>
          <w:rFonts w:ascii="Arial" w:hAnsi="Arial" w:cs="Arial"/>
          <w:sz w:val="20"/>
          <w:szCs w:val="20"/>
        </w:rPr>
        <w:fldChar w:fldCharType="separate"/>
      </w:r>
      <w:r w:rsidR="00491ECD" w:rsidRPr="008E3BF7">
        <w:rPr>
          <w:rFonts w:ascii="Arial" w:hAnsi="Arial" w:cs="Arial"/>
          <w:noProof/>
          <w:sz w:val="20"/>
          <w:szCs w:val="20"/>
        </w:rPr>
        <w:t>(2020)</w:t>
      </w:r>
      <w:r w:rsidR="00491ECD" w:rsidRPr="008E3BF7">
        <w:rPr>
          <w:rFonts w:ascii="Arial" w:hAnsi="Arial" w:cs="Arial"/>
          <w:sz w:val="20"/>
          <w:szCs w:val="20"/>
        </w:rPr>
        <w:fldChar w:fldCharType="end"/>
      </w:r>
      <w:r w:rsidR="00491ECD" w:rsidRPr="008E3BF7">
        <w:rPr>
          <w:rFonts w:ascii="Arial" w:hAnsi="Arial" w:cs="Arial"/>
          <w:sz w:val="20"/>
          <w:szCs w:val="20"/>
        </w:rPr>
        <w:t xml:space="preserve"> </w:t>
      </w:r>
      <w:r w:rsidR="00004443" w:rsidRPr="008E3BF7">
        <w:rPr>
          <w:rFonts w:ascii="Arial" w:hAnsi="Arial" w:cs="Arial"/>
          <w:sz w:val="20"/>
          <w:szCs w:val="20"/>
        </w:rPr>
        <w:t xml:space="preserve">explored key concerns, ways of coping, and the changes and adjustments undertaken by these firms’ owners and managers during the COVID-19 outbreak using an international sample of 45 hospitality businesses.  </w:t>
      </w:r>
    </w:p>
    <w:p w14:paraId="16412B4E" w14:textId="2CAE64A9" w:rsidR="001958F6" w:rsidRPr="008E3BF7" w:rsidRDefault="006F161D" w:rsidP="00237322">
      <w:pPr>
        <w:spacing w:after="0" w:line="240" w:lineRule="auto"/>
        <w:ind w:firstLine="720"/>
        <w:jc w:val="both"/>
        <w:rPr>
          <w:rFonts w:ascii="Arial" w:hAnsi="Arial" w:cs="Arial"/>
          <w:sz w:val="20"/>
          <w:szCs w:val="20"/>
        </w:rPr>
      </w:pPr>
      <w:r w:rsidRPr="008E3BF7">
        <w:rPr>
          <w:rFonts w:ascii="Arial" w:hAnsi="Arial" w:cs="Arial"/>
          <w:sz w:val="20"/>
          <w:szCs w:val="20"/>
        </w:rPr>
        <w:t>T</w:t>
      </w:r>
      <w:r w:rsidR="00EB28C6" w:rsidRPr="008E3BF7">
        <w:rPr>
          <w:rFonts w:ascii="Arial" w:hAnsi="Arial" w:cs="Arial"/>
          <w:sz w:val="20"/>
          <w:szCs w:val="20"/>
        </w:rPr>
        <w:t xml:space="preserve">he impact of COVID-19 on the hospitality industry has not been </w:t>
      </w:r>
      <w:r w:rsidR="005A4C02" w:rsidRPr="008E3BF7">
        <w:rPr>
          <w:rFonts w:ascii="Arial" w:hAnsi="Arial" w:cs="Arial"/>
          <w:sz w:val="20"/>
          <w:szCs w:val="20"/>
        </w:rPr>
        <w:t>empirically modeled</w:t>
      </w:r>
      <w:r w:rsidR="00EB28C6" w:rsidRPr="008E3BF7">
        <w:rPr>
          <w:rFonts w:ascii="Arial" w:hAnsi="Arial" w:cs="Arial"/>
          <w:sz w:val="20"/>
          <w:szCs w:val="20"/>
        </w:rPr>
        <w:t xml:space="preserve"> </w:t>
      </w:r>
      <w:r w:rsidRPr="008E3BF7">
        <w:rPr>
          <w:rFonts w:ascii="Arial" w:hAnsi="Arial" w:cs="Arial"/>
          <w:sz w:val="20"/>
          <w:szCs w:val="20"/>
        </w:rPr>
        <w:t xml:space="preserve">in academic research </w:t>
      </w:r>
      <w:r w:rsidR="00EB28C6" w:rsidRPr="008E3BF7">
        <w:rPr>
          <w:rFonts w:ascii="Arial" w:hAnsi="Arial" w:cs="Arial"/>
          <w:sz w:val="20"/>
          <w:szCs w:val="20"/>
        </w:rPr>
        <w:t>using any official statistics yet. Accommodation statistics</w:t>
      </w:r>
      <w:r w:rsidR="005A4C02" w:rsidRPr="008E3BF7">
        <w:rPr>
          <w:rFonts w:ascii="Arial" w:hAnsi="Arial" w:cs="Arial"/>
          <w:sz w:val="20"/>
          <w:szCs w:val="20"/>
        </w:rPr>
        <w:t xml:space="preserve"> for</w:t>
      </w:r>
      <w:r w:rsidR="00EB28C6" w:rsidRPr="008E3BF7">
        <w:rPr>
          <w:rFonts w:ascii="Arial" w:hAnsi="Arial" w:cs="Arial"/>
          <w:sz w:val="20"/>
          <w:szCs w:val="20"/>
        </w:rPr>
        <w:t xml:space="preserve"> the EU is made available earlier than in many other regions of the World, which </w:t>
      </w:r>
      <w:r w:rsidR="00897BDB" w:rsidRPr="008E3BF7">
        <w:rPr>
          <w:rFonts w:ascii="Arial" w:hAnsi="Arial" w:cs="Arial"/>
          <w:sz w:val="20"/>
          <w:szCs w:val="20"/>
        </w:rPr>
        <w:t xml:space="preserve">has </w:t>
      </w:r>
      <w:r w:rsidR="00EB28C6" w:rsidRPr="008E3BF7">
        <w:rPr>
          <w:rFonts w:ascii="Arial" w:hAnsi="Arial" w:cs="Arial"/>
          <w:sz w:val="20"/>
          <w:szCs w:val="20"/>
        </w:rPr>
        <w:t>made our preliminary estimates of the COVID-related losses</w:t>
      </w:r>
      <w:r w:rsidR="00897BDB" w:rsidRPr="008E3BF7">
        <w:rPr>
          <w:rFonts w:ascii="Arial" w:hAnsi="Arial" w:cs="Arial"/>
          <w:sz w:val="20"/>
          <w:szCs w:val="20"/>
        </w:rPr>
        <w:t xml:space="preserve"> possible</w:t>
      </w:r>
      <w:r w:rsidR="00EB28C6" w:rsidRPr="008E3BF7">
        <w:rPr>
          <w:rFonts w:ascii="Arial" w:hAnsi="Arial" w:cs="Arial"/>
          <w:sz w:val="20"/>
          <w:szCs w:val="20"/>
        </w:rPr>
        <w:t>.</w:t>
      </w:r>
      <w:r w:rsidRPr="008E3BF7">
        <w:rPr>
          <w:rFonts w:ascii="Arial" w:hAnsi="Arial" w:cs="Arial"/>
          <w:sz w:val="20"/>
          <w:szCs w:val="20"/>
        </w:rPr>
        <w:t xml:space="preserve"> </w:t>
      </w:r>
      <w:r w:rsidR="006533EA" w:rsidRPr="008E3BF7">
        <w:rPr>
          <w:rFonts w:ascii="Arial" w:hAnsi="Arial" w:cs="Arial"/>
          <w:sz w:val="20"/>
          <w:szCs w:val="20"/>
        </w:rPr>
        <w:t xml:space="preserve">The hospitality industry’s reopening is going to be a slow process, especially taking into account that recent research has shown that  most customers (over 50%) are not willing to travel to a destination and stay at a hotel any time soon </w:t>
      </w:r>
      <w:r w:rsidR="006533EA" w:rsidRPr="008E3BF7">
        <w:rPr>
          <w:rFonts w:ascii="Arial" w:hAnsi="Arial" w:cs="Arial"/>
          <w:sz w:val="20"/>
          <w:szCs w:val="20"/>
        </w:rPr>
        <w:fldChar w:fldCharType="begin" w:fldLock="1"/>
      </w:r>
      <w:r w:rsidR="00491ECD" w:rsidRPr="008E3BF7">
        <w:rPr>
          <w:rFonts w:ascii="Arial" w:hAnsi="Arial" w:cs="Arial"/>
          <w:sz w:val="20"/>
          <w:szCs w:val="20"/>
        </w:rPr>
        <w:instrText>ADDIN CSL_CITATION {"citationItems":[{"id":"ITEM-1","itemData":{"author":[{"dropping-particle":"","family":"Baum","given":"Tom","non-dropping-particle":"","parse-names":false,"suffix":""},{"dropping-particle":"","family":"Hai","given":"Nguyen Thi Thanh","non-dropping-particle":"","parse-names":false,"suffix":""}],"container-title":"International Journal of Contemporary Hospitality Management","id":"ITEM-1","issued":{"date-parts":[["2020"]]},"publisher":"Emerald Publishing Limited","title":"Hospitality, tourism, human rights and the impact of COVID-19","type":"article-journal"},"uris":["http://www.mendeley.com/documents/?uuid=52dcf2fb-e051-4c6e-ae6f-6eb674b078ce"]}],"mendeley":{"formattedCitation":"(Baum and Hai, 2020)","plainTextFormattedCitation":"(Baum and Hai, 2020)","previouslyFormattedCitation":"(Baum and Hai, 2020)"},"properties":{"noteIndex":0},"schema":"https://github.com/citation-style-language/schema/raw/master/csl-citation.json"}</w:instrText>
      </w:r>
      <w:r w:rsidR="006533EA" w:rsidRPr="008E3BF7">
        <w:rPr>
          <w:rFonts w:ascii="Arial" w:hAnsi="Arial" w:cs="Arial"/>
          <w:sz w:val="20"/>
          <w:szCs w:val="20"/>
        </w:rPr>
        <w:fldChar w:fldCharType="separate"/>
      </w:r>
      <w:r w:rsidR="006533EA" w:rsidRPr="008E3BF7">
        <w:rPr>
          <w:rFonts w:ascii="Arial" w:hAnsi="Arial" w:cs="Arial"/>
          <w:noProof/>
          <w:sz w:val="20"/>
          <w:szCs w:val="20"/>
        </w:rPr>
        <w:t>(Baum and Hai, 2020)</w:t>
      </w:r>
      <w:r w:rsidR="006533EA" w:rsidRPr="008E3BF7">
        <w:rPr>
          <w:rFonts w:ascii="Arial" w:hAnsi="Arial" w:cs="Arial"/>
          <w:sz w:val="20"/>
          <w:szCs w:val="20"/>
        </w:rPr>
        <w:fldChar w:fldCharType="end"/>
      </w:r>
      <w:r w:rsidR="006533EA" w:rsidRPr="008E3BF7">
        <w:rPr>
          <w:rFonts w:ascii="Arial" w:hAnsi="Arial" w:cs="Arial"/>
          <w:sz w:val="20"/>
          <w:szCs w:val="20"/>
        </w:rPr>
        <w:t>.</w:t>
      </w:r>
    </w:p>
    <w:p w14:paraId="42F8210F" w14:textId="77777777" w:rsidR="005A4C02" w:rsidRPr="008E3BF7" w:rsidRDefault="005A4C02" w:rsidP="00237322">
      <w:pPr>
        <w:spacing w:after="0" w:line="240" w:lineRule="auto"/>
        <w:ind w:firstLine="720"/>
        <w:jc w:val="both"/>
        <w:rPr>
          <w:rFonts w:ascii="Arial" w:hAnsi="Arial" w:cs="Arial"/>
          <w:b/>
          <w:bCs/>
          <w:sz w:val="20"/>
          <w:szCs w:val="20"/>
        </w:rPr>
      </w:pPr>
    </w:p>
    <w:p w14:paraId="64209DDD" w14:textId="772D1C07" w:rsidR="001051D0" w:rsidRPr="008E3BF7" w:rsidRDefault="00C25A57" w:rsidP="00237322">
      <w:pPr>
        <w:pStyle w:val="ListParagraph"/>
        <w:numPr>
          <w:ilvl w:val="0"/>
          <w:numId w:val="8"/>
        </w:numPr>
        <w:spacing w:after="0" w:line="240" w:lineRule="auto"/>
        <w:jc w:val="both"/>
        <w:rPr>
          <w:rFonts w:ascii="Arial" w:hAnsi="Arial" w:cs="Arial"/>
          <w:b/>
          <w:bCs/>
        </w:rPr>
      </w:pPr>
      <w:r w:rsidRPr="008E3BF7">
        <w:rPr>
          <w:rFonts w:ascii="Arial" w:hAnsi="Arial" w:cs="Arial"/>
          <w:b/>
          <w:bCs/>
        </w:rPr>
        <w:t>Data</w:t>
      </w:r>
    </w:p>
    <w:p w14:paraId="4ED99483" w14:textId="48F73B86" w:rsidR="00C25A57" w:rsidRPr="008E3BF7" w:rsidRDefault="00297C8E" w:rsidP="00237322">
      <w:pPr>
        <w:spacing w:after="0" w:line="240" w:lineRule="auto"/>
        <w:ind w:firstLine="720"/>
        <w:jc w:val="both"/>
        <w:rPr>
          <w:rFonts w:ascii="Arial" w:eastAsia="Times New Roman" w:hAnsi="Arial" w:cs="Arial"/>
          <w:sz w:val="20"/>
          <w:szCs w:val="20"/>
        </w:rPr>
      </w:pPr>
      <w:r w:rsidRPr="008E3BF7">
        <w:rPr>
          <w:rFonts w:ascii="Arial" w:hAnsi="Arial" w:cs="Arial"/>
          <w:sz w:val="20"/>
          <w:szCs w:val="20"/>
        </w:rPr>
        <w:t>We</w:t>
      </w:r>
      <w:r w:rsidR="00C25A57" w:rsidRPr="008E3BF7">
        <w:rPr>
          <w:rFonts w:ascii="Arial" w:hAnsi="Arial" w:cs="Arial"/>
          <w:sz w:val="20"/>
          <w:szCs w:val="20"/>
        </w:rPr>
        <w:t xml:space="preserve"> collected </w:t>
      </w:r>
      <w:r w:rsidR="00B22546" w:rsidRPr="008E3BF7">
        <w:rPr>
          <w:rFonts w:ascii="Arial" w:hAnsi="Arial" w:cs="Arial"/>
          <w:sz w:val="20"/>
          <w:szCs w:val="20"/>
        </w:rPr>
        <w:t xml:space="preserve">monthly </w:t>
      </w:r>
      <w:r w:rsidR="00C25A57" w:rsidRPr="008E3BF7">
        <w:rPr>
          <w:rFonts w:ascii="Arial" w:hAnsi="Arial" w:cs="Arial"/>
          <w:sz w:val="20"/>
          <w:szCs w:val="20"/>
        </w:rPr>
        <w:t xml:space="preserve">data on </w:t>
      </w:r>
      <w:r w:rsidR="00204427" w:rsidRPr="008E3BF7">
        <w:rPr>
          <w:rFonts w:ascii="Arial" w:hAnsi="Arial" w:cs="Arial"/>
          <w:sz w:val="20"/>
          <w:szCs w:val="20"/>
        </w:rPr>
        <w:t xml:space="preserve">nights spent at tourist accommodation establishments of </w:t>
      </w:r>
      <w:r w:rsidRPr="008E3BF7">
        <w:rPr>
          <w:rFonts w:ascii="Arial" w:hAnsi="Arial" w:cs="Arial"/>
          <w:sz w:val="20"/>
          <w:szCs w:val="20"/>
        </w:rPr>
        <w:t>1</w:t>
      </w:r>
      <w:r w:rsidR="005A4C02" w:rsidRPr="008E3BF7">
        <w:rPr>
          <w:rFonts w:ascii="Arial" w:hAnsi="Arial" w:cs="Arial"/>
          <w:sz w:val="20"/>
          <w:szCs w:val="20"/>
        </w:rPr>
        <w:t>8</w:t>
      </w:r>
      <w:r w:rsidR="00B22546" w:rsidRPr="008E3BF7">
        <w:rPr>
          <w:rFonts w:ascii="Arial" w:hAnsi="Arial" w:cs="Arial"/>
          <w:sz w:val="20"/>
          <w:szCs w:val="20"/>
        </w:rPr>
        <w:t xml:space="preserve"> European countries for which data for March</w:t>
      </w:r>
      <w:r w:rsidR="00F30D6F" w:rsidRPr="008E3BF7">
        <w:rPr>
          <w:rFonts w:ascii="Arial" w:hAnsi="Arial" w:cs="Arial"/>
          <w:sz w:val="20"/>
          <w:szCs w:val="20"/>
        </w:rPr>
        <w:t>-May</w:t>
      </w:r>
      <w:r w:rsidR="00204427" w:rsidRPr="008E3BF7">
        <w:rPr>
          <w:rFonts w:ascii="Arial" w:hAnsi="Arial" w:cs="Arial"/>
          <w:sz w:val="20"/>
          <w:szCs w:val="20"/>
        </w:rPr>
        <w:t xml:space="preserve"> 2020</w:t>
      </w:r>
      <w:r w:rsidR="00B22546" w:rsidRPr="008E3BF7">
        <w:rPr>
          <w:rFonts w:ascii="Arial" w:hAnsi="Arial" w:cs="Arial"/>
          <w:sz w:val="20"/>
          <w:szCs w:val="20"/>
        </w:rPr>
        <w:t xml:space="preserve"> was already available from Eurostat</w:t>
      </w:r>
      <w:r w:rsidR="00297CFE" w:rsidRPr="008E3BF7">
        <w:rPr>
          <w:rFonts w:ascii="Arial" w:hAnsi="Arial" w:cs="Arial"/>
          <w:sz w:val="20"/>
          <w:szCs w:val="20"/>
        </w:rPr>
        <w:t xml:space="preserve"> (</w:t>
      </w:r>
      <w:hyperlink r:id="rId8" w:history="1">
        <w:r w:rsidR="00297CFE" w:rsidRPr="008E3BF7">
          <w:rPr>
            <w:rStyle w:val="Hyperlink"/>
            <w:rFonts w:ascii="Arial" w:hAnsi="Arial" w:cs="Arial"/>
            <w:sz w:val="20"/>
            <w:szCs w:val="20"/>
          </w:rPr>
          <w:t>https://ec.europa.eu/eurostat/web/tourism/data/database</w:t>
        </w:r>
      </w:hyperlink>
      <w:r w:rsidR="00297CFE" w:rsidRPr="008E3BF7">
        <w:rPr>
          <w:rFonts w:ascii="Arial" w:hAnsi="Arial" w:cs="Arial"/>
          <w:sz w:val="20"/>
          <w:szCs w:val="20"/>
        </w:rPr>
        <w:t>)</w:t>
      </w:r>
      <w:r w:rsidR="00B22546" w:rsidRPr="008E3BF7">
        <w:rPr>
          <w:rFonts w:ascii="Arial" w:hAnsi="Arial" w:cs="Arial"/>
          <w:sz w:val="20"/>
          <w:szCs w:val="20"/>
        </w:rPr>
        <w:t xml:space="preserve"> </w:t>
      </w:r>
      <w:r w:rsidR="00204427" w:rsidRPr="008E3BF7">
        <w:rPr>
          <w:rFonts w:ascii="Arial" w:hAnsi="Arial" w:cs="Arial"/>
          <w:sz w:val="20"/>
          <w:szCs w:val="20"/>
        </w:rPr>
        <w:t>as of</w:t>
      </w:r>
      <w:r w:rsidR="00B22546" w:rsidRPr="008E3BF7">
        <w:rPr>
          <w:rFonts w:ascii="Arial" w:hAnsi="Arial" w:cs="Arial"/>
          <w:sz w:val="20"/>
          <w:szCs w:val="20"/>
        </w:rPr>
        <w:t xml:space="preserve"> </w:t>
      </w:r>
      <w:r w:rsidR="005A4C02" w:rsidRPr="008E3BF7">
        <w:rPr>
          <w:rFonts w:ascii="Arial" w:hAnsi="Arial" w:cs="Arial"/>
          <w:sz w:val="20"/>
          <w:szCs w:val="20"/>
        </w:rPr>
        <w:t>September, 1 2020</w:t>
      </w:r>
      <w:r w:rsidR="00B22546" w:rsidRPr="008E3BF7">
        <w:rPr>
          <w:rFonts w:ascii="Arial" w:hAnsi="Arial" w:cs="Arial"/>
          <w:sz w:val="20"/>
          <w:szCs w:val="20"/>
        </w:rPr>
        <w:t xml:space="preserve">. </w:t>
      </w:r>
      <w:proofErr w:type="spellStart"/>
      <w:r w:rsidR="001706E3" w:rsidRPr="008E3BF7">
        <w:rPr>
          <w:rFonts w:ascii="Arial" w:hAnsi="Arial" w:cs="Arial"/>
          <w:sz w:val="20"/>
          <w:szCs w:val="20"/>
        </w:rPr>
        <w:t>All time</w:t>
      </w:r>
      <w:proofErr w:type="spellEnd"/>
      <w:r w:rsidR="001706E3" w:rsidRPr="008E3BF7">
        <w:rPr>
          <w:rFonts w:ascii="Arial" w:hAnsi="Arial" w:cs="Arial"/>
          <w:sz w:val="20"/>
          <w:szCs w:val="20"/>
        </w:rPr>
        <w:t xml:space="preserve"> series span over the maximum time range provided by Eurostat: from January 2012 to March 2020. </w:t>
      </w:r>
      <w:r w:rsidR="00B22546" w:rsidRPr="008E3BF7">
        <w:rPr>
          <w:rFonts w:ascii="Arial" w:hAnsi="Arial" w:cs="Arial"/>
          <w:sz w:val="20"/>
          <w:szCs w:val="20"/>
        </w:rPr>
        <w:t xml:space="preserve">For each </w:t>
      </w:r>
      <w:r w:rsidR="00C87755" w:rsidRPr="008E3BF7">
        <w:rPr>
          <w:rFonts w:ascii="Arial" w:hAnsi="Arial" w:cs="Arial"/>
          <w:sz w:val="20"/>
          <w:szCs w:val="20"/>
        </w:rPr>
        <w:t>country,</w:t>
      </w:r>
      <w:r w:rsidR="00B22546" w:rsidRPr="008E3BF7">
        <w:rPr>
          <w:rFonts w:ascii="Arial" w:hAnsi="Arial" w:cs="Arial"/>
          <w:sz w:val="20"/>
          <w:szCs w:val="20"/>
        </w:rPr>
        <w:t xml:space="preserve"> the following set of time series </w:t>
      </w:r>
      <w:r w:rsidR="009D0669" w:rsidRPr="008E3BF7">
        <w:rPr>
          <w:rFonts w:ascii="Arial" w:hAnsi="Arial" w:cs="Arial"/>
          <w:sz w:val="20"/>
          <w:szCs w:val="20"/>
        </w:rPr>
        <w:t xml:space="preserve">obtained from table </w:t>
      </w:r>
      <w:proofErr w:type="spellStart"/>
      <w:r w:rsidR="009D0669" w:rsidRPr="008E3BF7">
        <w:rPr>
          <w:rFonts w:ascii="Arial" w:eastAsia="Times New Roman" w:hAnsi="Arial" w:cs="Arial"/>
          <w:i/>
          <w:iCs/>
          <w:color w:val="000000"/>
          <w:sz w:val="20"/>
          <w:szCs w:val="20"/>
        </w:rPr>
        <w:t>tour_occ_nim</w:t>
      </w:r>
      <w:proofErr w:type="spellEnd"/>
      <w:r w:rsidR="009D0669" w:rsidRPr="008E3BF7">
        <w:rPr>
          <w:rFonts w:ascii="Arial" w:eastAsia="Times New Roman" w:hAnsi="Arial" w:cs="Arial"/>
          <w:color w:val="000000"/>
          <w:sz w:val="20"/>
          <w:szCs w:val="20"/>
        </w:rPr>
        <w:t xml:space="preserve"> </w:t>
      </w:r>
      <w:r w:rsidR="00B22546" w:rsidRPr="008E3BF7">
        <w:rPr>
          <w:rFonts w:ascii="Arial" w:hAnsi="Arial" w:cs="Arial"/>
          <w:sz w:val="20"/>
          <w:szCs w:val="20"/>
        </w:rPr>
        <w:t>was used:</w:t>
      </w:r>
    </w:p>
    <w:p w14:paraId="71130043" w14:textId="76C0C791" w:rsidR="00204427" w:rsidRPr="008E3BF7" w:rsidRDefault="004E57C4" w:rsidP="00237322">
      <w:pPr>
        <w:pStyle w:val="ListParagraph"/>
        <w:numPr>
          <w:ilvl w:val="0"/>
          <w:numId w:val="6"/>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lastRenderedPageBreak/>
        <w:t>Nights spent in h</w:t>
      </w:r>
      <w:r w:rsidR="00204427" w:rsidRPr="008E3BF7">
        <w:rPr>
          <w:rFonts w:ascii="Arial" w:hAnsi="Arial" w:cs="Arial"/>
          <w:color w:val="000000"/>
          <w:sz w:val="20"/>
          <w:szCs w:val="20"/>
          <w:shd w:val="clear" w:color="auto" w:fill="FFFFFF"/>
        </w:rPr>
        <w:t>otels and similar accommodation (I551)</w:t>
      </w:r>
      <w:r w:rsidR="00491ECD" w:rsidRPr="008E3BF7">
        <w:rPr>
          <w:rFonts w:ascii="Arial" w:hAnsi="Arial" w:cs="Arial"/>
          <w:color w:val="000000"/>
          <w:sz w:val="20"/>
          <w:szCs w:val="20"/>
          <w:shd w:val="clear" w:color="auto" w:fill="FFFFFF"/>
        </w:rPr>
        <w:t>,</w:t>
      </w:r>
      <w:r w:rsidR="00C87755" w:rsidRPr="008E3BF7">
        <w:rPr>
          <w:rFonts w:ascii="Arial" w:hAnsi="Arial" w:cs="Arial"/>
          <w:color w:val="000000"/>
          <w:sz w:val="20"/>
          <w:szCs w:val="20"/>
          <w:shd w:val="clear" w:color="auto" w:fill="FFFFFF"/>
        </w:rPr>
        <w:t xml:space="preserve"> residents of foreign countries (FOR)</w:t>
      </w:r>
    </w:p>
    <w:p w14:paraId="4598A712" w14:textId="7DB9D87D" w:rsidR="00C87755" w:rsidRPr="008E3BF7" w:rsidRDefault="004E57C4" w:rsidP="00237322">
      <w:pPr>
        <w:pStyle w:val="ListParagraph"/>
        <w:numPr>
          <w:ilvl w:val="0"/>
          <w:numId w:val="4"/>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t>Nights spent in h</w:t>
      </w:r>
      <w:r w:rsidR="00C87755" w:rsidRPr="008E3BF7">
        <w:rPr>
          <w:rFonts w:ascii="Arial" w:hAnsi="Arial" w:cs="Arial"/>
          <w:color w:val="000000"/>
          <w:sz w:val="20"/>
          <w:szCs w:val="20"/>
          <w:shd w:val="clear" w:color="auto" w:fill="FFFFFF"/>
        </w:rPr>
        <w:t>otels and similar accommodation (I551), residents of the reporting country (NAT)</w:t>
      </w:r>
    </w:p>
    <w:p w14:paraId="319965D8" w14:textId="4D1A7D94" w:rsidR="00204427" w:rsidRPr="008E3BF7" w:rsidRDefault="004E57C4" w:rsidP="00237322">
      <w:pPr>
        <w:pStyle w:val="ListParagraph"/>
        <w:numPr>
          <w:ilvl w:val="0"/>
          <w:numId w:val="4"/>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t>Nights spent in h</w:t>
      </w:r>
      <w:r w:rsidR="00204427" w:rsidRPr="008E3BF7">
        <w:rPr>
          <w:rFonts w:ascii="Arial" w:hAnsi="Arial" w:cs="Arial"/>
          <w:color w:val="000000"/>
          <w:sz w:val="20"/>
          <w:szCs w:val="20"/>
          <w:shd w:val="clear" w:color="auto" w:fill="FFFFFF"/>
        </w:rPr>
        <w:t>oliday and other short-stay accommodation (I552)</w:t>
      </w:r>
      <w:r w:rsidR="00C87755" w:rsidRPr="008E3BF7">
        <w:rPr>
          <w:rFonts w:ascii="Arial" w:hAnsi="Arial" w:cs="Arial"/>
          <w:color w:val="000000"/>
          <w:sz w:val="20"/>
          <w:szCs w:val="20"/>
          <w:shd w:val="clear" w:color="auto" w:fill="FFFFFF"/>
        </w:rPr>
        <w:t>, residents of foreign countries (FOR)</w:t>
      </w:r>
    </w:p>
    <w:p w14:paraId="1BACCBF7" w14:textId="7DA87EDA" w:rsidR="00C87755" w:rsidRPr="008E3BF7" w:rsidRDefault="004E57C4" w:rsidP="00237322">
      <w:pPr>
        <w:pStyle w:val="ListParagraph"/>
        <w:numPr>
          <w:ilvl w:val="0"/>
          <w:numId w:val="4"/>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t>Nights spent in h</w:t>
      </w:r>
      <w:r w:rsidR="00C87755" w:rsidRPr="008E3BF7">
        <w:rPr>
          <w:rFonts w:ascii="Arial" w:hAnsi="Arial" w:cs="Arial"/>
          <w:color w:val="000000"/>
          <w:sz w:val="20"/>
          <w:szCs w:val="20"/>
          <w:shd w:val="clear" w:color="auto" w:fill="FFFFFF"/>
        </w:rPr>
        <w:t>oliday and other short-stay accommodation (I552), residents of the reporting country (NAT)</w:t>
      </w:r>
    </w:p>
    <w:p w14:paraId="1593A0CC" w14:textId="7762197A" w:rsidR="001706E3" w:rsidRPr="008E3BF7" w:rsidRDefault="004E57C4" w:rsidP="00237322">
      <w:pPr>
        <w:pStyle w:val="ListParagraph"/>
        <w:numPr>
          <w:ilvl w:val="0"/>
          <w:numId w:val="4"/>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t>Nights spent in c</w:t>
      </w:r>
      <w:r w:rsidR="00204427" w:rsidRPr="008E3BF7">
        <w:rPr>
          <w:rFonts w:ascii="Arial" w:hAnsi="Arial" w:cs="Arial"/>
          <w:color w:val="000000"/>
          <w:sz w:val="20"/>
          <w:szCs w:val="20"/>
          <w:shd w:val="clear" w:color="auto" w:fill="FFFFFF"/>
        </w:rPr>
        <w:t>amping grounds, recreational vehicle parks and trailer parks (I553)</w:t>
      </w:r>
      <w:r w:rsidR="00C87755" w:rsidRPr="008E3BF7">
        <w:rPr>
          <w:rFonts w:ascii="Arial" w:hAnsi="Arial" w:cs="Arial"/>
          <w:color w:val="000000"/>
          <w:sz w:val="20"/>
          <w:szCs w:val="20"/>
          <w:shd w:val="clear" w:color="auto" w:fill="FFFFFF"/>
        </w:rPr>
        <w:t>, residents of foreign countries (FOR)</w:t>
      </w:r>
    </w:p>
    <w:p w14:paraId="62307877" w14:textId="68AE9A9A" w:rsidR="00C87755" w:rsidRPr="008E3BF7" w:rsidRDefault="004E57C4" w:rsidP="00237322">
      <w:pPr>
        <w:pStyle w:val="ListParagraph"/>
        <w:numPr>
          <w:ilvl w:val="0"/>
          <w:numId w:val="4"/>
        </w:numPr>
        <w:spacing w:after="0" w:line="240" w:lineRule="auto"/>
        <w:jc w:val="both"/>
        <w:rPr>
          <w:rFonts w:ascii="Arial" w:hAnsi="Arial" w:cs="Arial"/>
          <w:sz w:val="20"/>
          <w:szCs w:val="20"/>
        </w:rPr>
      </w:pPr>
      <w:r w:rsidRPr="008E3BF7">
        <w:rPr>
          <w:rFonts w:ascii="Arial" w:hAnsi="Arial" w:cs="Arial"/>
          <w:color w:val="000000"/>
          <w:sz w:val="20"/>
          <w:szCs w:val="20"/>
          <w:shd w:val="clear" w:color="auto" w:fill="FFFFFF"/>
        </w:rPr>
        <w:t>Nights spent in c</w:t>
      </w:r>
      <w:r w:rsidR="00C87755" w:rsidRPr="008E3BF7">
        <w:rPr>
          <w:rFonts w:ascii="Arial" w:hAnsi="Arial" w:cs="Arial"/>
          <w:color w:val="000000"/>
          <w:sz w:val="20"/>
          <w:szCs w:val="20"/>
          <w:shd w:val="clear" w:color="auto" w:fill="FFFFFF"/>
        </w:rPr>
        <w:t>amping grounds, recreational vehicle parks and trailer parks (I553), residents of the reporting country (NAT)</w:t>
      </w:r>
    </w:p>
    <w:p w14:paraId="4CFA71E7" w14:textId="7A6B091D" w:rsidR="003672FC" w:rsidRPr="008E3BF7" w:rsidRDefault="00297C8E"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The data has been downloaded as a wide format table </w:t>
      </w:r>
      <w:r w:rsidR="00682A5F" w:rsidRPr="008E3BF7">
        <w:rPr>
          <w:rFonts w:ascii="Arial" w:hAnsi="Arial" w:cs="Arial"/>
          <w:sz w:val="20"/>
          <w:szCs w:val="20"/>
        </w:rPr>
        <w:t>with 114</w:t>
      </w:r>
      <w:r w:rsidRPr="008E3BF7">
        <w:rPr>
          <w:rFonts w:ascii="Arial" w:hAnsi="Arial" w:cs="Arial"/>
          <w:sz w:val="20"/>
          <w:szCs w:val="20"/>
        </w:rPr>
        <w:t xml:space="preserve"> columns corresponding to nights spent at tourist accommodations. </w:t>
      </w:r>
      <w:r w:rsidR="003672FC" w:rsidRPr="008E3BF7">
        <w:rPr>
          <w:rFonts w:ascii="Arial" w:hAnsi="Arial" w:cs="Arial"/>
          <w:sz w:val="20"/>
          <w:szCs w:val="20"/>
        </w:rPr>
        <w:t xml:space="preserve">All series were given short descriptive names </w:t>
      </w:r>
      <w:r w:rsidR="00B365A4" w:rsidRPr="008E3BF7">
        <w:rPr>
          <w:rFonts w:ascii="Arial" w:hAnsi="Arial" w:cs="Arial"/>
          <w:sz w:val="20"/>
          <w:szCs w:val="20"/>
        </w:rPr>
        <w:t>containing the country</w:t>
      </w:r>
      <w:r w:rsidR="00FD2DAC" w:rsidRPr="008E3BF7">
        <w:rPr>
          <w:rFonts w:ascii="Arial" w:hAnsi="Arial" w:cs="Arial"/>
          <w:sz w:val="20"/>
          <w:szCs w:val="20"/>
        </w:rPr>
        <w:t>’s name</w:t>
      </w:r>
      <w:r w:rsidR="00B365A4" w:rsidRPr="008E3BF7">
        <w:rPr>
          <w:rFonts w:ascii="Arial" w:hAnsi="Arial" w:cs="Arial"/>
          <w:sz w:val="20"/>
          <w:szCs w:val="20"/>
        </w:rPr>
        <w:t xml:space="preserve"> (</w:t>
      </w:r>
      <w:proofErr w:type="spellStart"/>
      <w:r w:rsidR="00B365A4" w:rsidRPr="008E3BF7">
        <w:rPr>
          <w:rFonts w:ascii="Arial" w:hAnsi="Arial" w:cs="Arial"/>
          <w:i/>
          <w:iCs/>
          <w:sz w:val="20"/>
          <w:szCs w:val="20"/>
        </w:rPr>
        <w:t>denmark</w:t>
      </w:r>
      <w:proofErr w:type="spellEnd"/>
      <w:r w:rsidR="00B365A4" w:rsidRPr="008E3BF7">
        <w:rPr>
          <w:rFonts w:ascii="Arial" w:hAnsi="Arial" w:cs="Arial"/>
          <w:sz w:val="20"/>
          <w:szCs w:val="20"/>
        </w:rPr>
        <w:t>/</w:t>
      </w:r>
      <w:proofErr w:type="spellStart"/>
      <w:r w:rsidR="000C2E10" w:rsidRPr="008E3BF7">
        <w:rPr>
          <w:rFonts w:ascii="Arial" w:hAnsi="Arial" w:cs="Arial"/>
          <w:i/>
          <w:iCs/>
          <w:sz w:val="20"/>
          <w:szCs w:val="20"/>
        </w:rPr>
        <w:t>germany</w:t>
      </w:r>
      <w:proofErr w:type="spellEnd"/>
      <w:r w:rsidR="000C2E10" w:rsidRPr="008E3BF7">
        <w:rPr>
          <w:rFonts w:ascii="Arial" w:hAnsi="Arial" w:cs="Arial"/>
          <w:sz w:val="20"/>
          <w:szCs w:val="20"/>
        </w:rPr>
        <w:t>/etc.)</w:t>
      </w:r>
      <w:r w:rsidR="00B365A4" w:rsidRPr="008E3BF7">
        <w:rPr>
          <w:rFonts w:ascii="Arial" w:hAnsi="Arial" w:cs="Arial"/>
          <w:sz w:val="20"/>
          <w:szCs w:val="20"/>
        </w:rPr>
        <w:t>, the type of accommodation establishment (</w:t>
      </w:r>
      <w:r w:rsidR="00B365A4" w:rsidRPr="008E3BF7">
        <w:rPr>
          <w:rFonts w:ascii="Arial" w:hAnsi="Arial" w:cs="Arial"/>
          <w:i/>
          <w:iCs/>
          <w:sz w:val="20"/>
          <w:szCs w:val="20"/>
        </w:rPr>
        <w:t>hotel</w:t>
      </w:r>
      <w:r w:rsidR="00B365A4" w:rsidRPr="008E3BF7">
        <w:rPr>
          <w:rFonts w:ascii="Arial" w:hAnsi="Arial" w:cs="Arial"/>
          <w:sz w:val="20"/>
          <w:szCs w:val="20"/>
        </w:rPr>
        <w:t>/</w:t>
      </w:r>
      <w:r w:rsidR="00B365A4" w:rsidRPr="008E3BF7">
        <w:rPr>
          <w:rFonts w:ascii="Arial" w:hAnsi="Arial" w:cs="Arial"/>
          <w:i/>
          <w:iCs/>
          <w:sz w:val="20"/>
          <w:szCs w:val="20"/>
        </w:rPr>
        <w:t>holiday</w:t>
      </w:r>
      <w:r w:rsidR="00B365A4" w:rsidRPr="008E3BF7">
        <w:rPr>
          <w:rFonts w:ascii="Arial" w:hAnsi="Arial" w:cs="Arial"/>
          <w:sz w:val="20"/>
          <w:szCs w:val="20"/>
        </w:rPr>
        <w:t>/</w:t>
      </w:r>
      <w:r w:rsidR="00B365A4" w:rsidRPr="008E3BF7">
        <w:rPr>
          <w:rFonts w:ascii="Arial" w:hAnsi="Arial" w:cs="Arial"/>
          <w:i/>
          <w:iCs/>
          <w:sz w:val="20"/>
          <w:szCs w:val="20"/>
        </w:rPr>
        <w:t>camping</w:t>
      </w:r>
      <w:r w:rsidR="00B365A4" w:rsidRPr="008E3BF7">
        <w:rPr>
          <w:rFonts w:ascii="Arial" w:hAnsi="Arial" w:cs="Arial"/>
          <w:sz w:val="20"/>
          <w:szCs w:val="20"/>
        </w:rPr>
        <w:t>) and the group of visitors (</w:t>
      </w:r>
      <w:r w:rsidR="00B365A4" w:rsidRPr="008E3BF7">
        <w:rPr>
          <w:rFonts w:ascii="Arial" w:hAnsi="Arial" w:cs="Arial"/>
          <w:i/>
          <w:iCs/>
          <w:sz w:val="20"/>
          <w:szCs w:val="20"/>
        </w:rPr>
        <w:t>foreign</w:t>
      </w:r>
      <w:r w:rsidR="00B365A4" w:rsidRPr="008E3BF7">
        <w:rPr>
          <w:rFonts w:ascii="Arial" w:hAnsi="Arial" w:cs="Arial"/>
          <w:sz w:val="20"/>
          <w:szCs w:val="20"/>
        </w:rPr>
        <w:t>/</w:t>
      </w:r>
      <w:r w:rsidR="00B365A4" w:rsidRPr="008E3BF7">
        <w:rPr>
          <w:rFonts w:ascii="Arial" w:hAnsi="Arial" w:cs="Arial"/>
          <w:i/>
          <w:iCs/>
          <w:sz w:val="20"/>
          <w:szCs w:val="20"/>
        </w:rPr>
        <w:t>national</w:t>
      </w:r>
      <w:r w:rsidR="00B365A4" w:rsidRPr="008E3BF7">
        <w:rPr>
          <w:rFonts w:ascii="Arial" w:hAnsi="Arial" w:cs="Arial"/>
          <w:sz w:val="20"/>
          <w:szCs w:val="20"/>
        </w:rPr>
        <w:t>).</w:t>
      </w:r>
    </w:p>
    <w:p w14:paraId="4333D736" w14:textId="77777777" w:rsidR="003672FC" w:rsidRPr="008E3BF7" w:rsidRDefault="003672FC" w:rsidP="00237322">
      <w:pPr>
        <w:spacing w:after="0" w:line="240" w:lineRule="auto"/>
        <w:jc w:val="both"/>
        <w:rPr>
          <w:rFonts w:ascii="Arial" w:hAnsi="Arial" w:cs="Arial"/>
          <w:sz w:val="20"/>
          <w:szCs w:val="20"/>
        </w:rPr>
      </w:pPr>
    </w:p>
    <w:p w14:paraId="6D5207E4" w14:textId="77777777" w:rsidR="00C25A57" w:rsidRPr="008E3BF7" w:rsidRDefault="00C25A57" w:rsidP="00237322">
      <w:pPr>
        <w:spacing w:after="0" w:line="240" w:lineRule="auto"/>
        <w:jc w:val="both"/>
        <w:rPr>
          <w:rFonts w:ascii="Arial" w:hAnsi="Arial" w:cs="Arial"/>
          <w:sz w:val="18"/>
          <w:szCs w:val="18"/>
        </w:rPr>
      </w:pPr>
    </w:p>
    <w:p w14:paraId="05DF6574" w14:textId="794E0705" w:rsidR="0026503F" w:rsidRPr="008E3BF7" w:rsidRDefault="001051D0" w:rsidP="00237322">
      <w:pPr>
        <w:pStyle w:val="ListParagraph"/>
        <w:numPr>
          <w:ilvl w:val="0"/>
          <w:numId w:val="8"/>
        </w:numPr>
        <w:spacing w:after="0" w:line="240" w:lineRule="auto"/>
        <w:jc w:val="both"/>
        <w:rPr>
          <w:rFonts w:ascii="Arial" w:hAnsi="Arial" w:cs="Arial"/>
          <w:b/>
          <w:bCs/>
        </w:rPr>
      </w:pPr>
      <w:r w:rsidRPr="008E3BF7">
        <w:rPr>
          <w:rFonts w:ascii="Arial" w:hAnsi="Arial" w:cs="Arial"/>
          <w:b/>
          <w:bCs/>
        </w:rPr>
        <w:t>Methods</w:t>
      </w:r>
    </w:p>
    <w:p w14:paraId="23744029" w14:textId="680E737E" w:rsidR="00F54BFC" w:rsidRPr="008E3BF7" w:rsidRDefault="00F54BFC" w:rsidP="00237322">
      <w:pPr>
        <w:pStyle w:val="ListParagraph"/>
        <w:numPr>
          <w:ilvl w:val="1"/>
          <w:numId w:val="16"/>
        </w:numPr>
        <w:spacing w:after="0" w:line="240" w:lineRule="auto"/>
        <w:jc w:val="both"/>
        <w:rPr>
          <w:rFonts w:ascii="Arial" w:hAnsi="Arial" w:cs="Arial"/>
          <w:b/>
          <w:bCs/>
        </w:rPr>
      </w:pPr>
      <w:r w:rsidRPr="008E3BF7">
        <w:rPr>
          <w:rFonts w:ascii="Arial" w:hAnsi="Arial" w:cs="Arial"/>
          <w:b/>
          <w:bCs/>
        </w:rPr>
        <w:t>Counterfactual framework for COVID impact estimation</w:t>
      </w:r>
    </w:p>
    <w:p w14:paraId="2A105D94" w14:textId="13883E6D" w:rsidR="00F54BFC" w:rsidRPr="008E3BF7" w:rsidRDefault="00F54BFC"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The approach to assessing losses from COVID-19 adopted in this study is based on the counterfactual framework of causal inference </w:t>
      </w:r>
      <w:r w:rsidR="001C250C" w:rsidRPr="008E3BF7">
        <w:rPr>
          <w:rFonts w:ascii="Arial" w:hAnsi="Arial" w:cs="Arial"/>
          <w:sz w:val="20"/>
          <w:szCs w:val="20"/>
        </w:rPr>
        <w:fldChar w:fldCharType="begin" w:fldLock="1"/>
      </w:r>
      <w:r w:rsidR="00A41B22" w:rsidRPr="008E3BF7">
        <w:rPr>
          <w:rFonts w:ascii="Arial" w:hAnsi="Arial" w:cs="Arial"/>
          <w:sz w:val="20"/>
          <w:szCs w:val="20"/>
        </w:rPr>
        <w:instrText>ADDIN CSL_CITATION {"citationItems":[{"id":"ITEM-1","itemData":{"author":[{"dropping-particle":"","family":"Morgan","given":"Stephen L","non-dropping-particle":"","parse-names":false,"suffix":""},{"dropping-particle":"","family":"Winship","given":"Christopher","non-dropping-particle":"","parse-names":false,"suffix":""}],"id":"ITEM-1","issued":{"date-parts":[["2015"]]},"publisher":"Cambridge University Press","title":"Counterfactuals and causal inference","type":"book"},"uris":["http://www.mendeley.com/documents/?uuid=09b743e2-f044-4ade-a9d4-40c3ff7b56b2"]}],"mendeley":{"formattedCitation":"(Morgan and Winship, 2015)","plainTextFormattedCitation":"(Morgan and Winship, 2015)","previouslyFormattedCitation":"(Morgan and Winship, 2015)"},"properties":{"noteIndex":0},"schema":"https://github.com/citation-style-language/schema/raw/master/csl-citation.json"}</w:instrText>
      </w:r>
      <w:r w:rsidR="001C250C" w:rsidRPr="008E3BF7">
        <w:rPr>
          <w:rFonts w:ascii="Arial" w:hAnsi="Arial" w:cs="Arial"/>
          <w:sz w:val="20"/>
          <w:szCs w:val="20"/>
        </w:rPr>
        <w:fldChar w:fldCharType="separate"/>
      </w:r>
      <w:r w:rsidR="001C250C" w:rsidRPr="008E3BF7">
        <w:rPr>
          <w:rFonts w:ascii="Arial" w:hAnsi="Arial" w:cs="Arial"/>
          <w:noProof/>
          <w:sz w:val="20"/>
          <w:szCs w:val="20"/>
        </w:rPr>
        <w:t>(Morgan and Winship, 2015)</w:t>
      </w:r>
      <w:r w:rsidR="001C250C" w:rsidRPr="008E3BF7">
        <w:rPr>
          <w:rFonts w:ascii="Arial" w:hAnsi="Arial" w:cs="Arial"/>
          <w:sz w:val="20"/>
          <w:szCs w:val="20"/>
        </w:rPr>
        <w:fldChar w:fldCharType="end"/>
      </w:r>
      <w:r w:rsidRPr="008E3BF7">
        <w:rPr>
          <w:rFonts w:ascii="Arial" w:hAnsi="Arial" w:cs="Arial"/>
          <w:sz w:val="20"/>
          <w:szCs w:val="20"/>
        </w:rPr>
        <w:t xml:space="preserve"> and on the idea of potential outcomes in particular </w:t>
      </w:r>
      <w:r w:rsidR="00EE5663" w:rsidRPr="008E3BF7">
        <w:rPr>
          <w:rFonts w:ascii="Arial" w:hAnsi="Arial" w:cs="Arial"/>
          <w:sz w:val="20"/>
          <w:szCs w:val="20"/>
        </w:rPr>
        <w:fldChar w:fldCharType="begin" w:fldLock="1"/>
      </w:r>
      <w:r w:rsidR="001C250C" w:rsidRPr="008E3BF7">
        <w:rPr>
          <w:rFonts w:ascii="Arial" w:hAnsi="Arial" w:cs="Arial"/>
          <w:sz w:val="20"/>
          <w:szCs w:val="20"/>
        </w:rPr>
        <w:instrText>ADDIN CSL_CITATION {"citationItems":[{"id":"ITEM-1","itemData":{"author":[{"dropping-particle":"","family":"Rubin","given":"Donald B","non-dropping-particle":"","parse-names":false,"suffix":""}],"container-title":"Journal of the American Statistical Association","id":"ITEM-1","issue":"469","issued":{"date-parts":[["2005"]]},"page":"322-331","publisher":"Taylor &amp; Francis","title":"Causal inference using potential outcomes: Design, modeling, decisions","type":"article-journal","volume":"100"},"uris":["http://www.mendeley.com/documents/?uuid=19b6608f-0456-450c-baea-a8f2ff80c7d1"]}],"mendeley":{"formattedCitation":"(Rubin, 2005)","plainTextFormattedCitation":"(Rubin, 2005)","previouslyFormattedCitation":"(Rubin, 2005)"},"properties":{"noteIndex":0},"schema":"https://github.com/citation-style-language/schema/raw/master/csl-citation.json"}</w:instrText>
      </w:r>
      <w:r w:rsidR="00EE5663" w:rsidRPr="008E3BF7">
        <w:rPr>
          <w:rFonts w:ascii="Arial" w:hAnsi="Arial" w:cs="Arial"/>
          <w:sz w:val="20"/>
          <w:szCs w:val="20"/>
        </w:rPr>
        <w:fldChar w:fldCharType="separate"/>
      </w:r>
      <w:r w:rsidR="00EE5663" w:rsidRPr="008E3BF7">
        <w:rPr>
          <w:rFonts w:ascii="Arial" w:hAnsi="Arial" w:cs="Arial"/>
          <w:noProof/>
          <w:sz w:val="20"/>
          <w:szCs w:val="20"/>
        </w:rPr>
        <w:t>(Rubin, 2005)</w:t>
      </w:r>
      <w:r w:rsidR="00EE5663" w:rsidRPr="008E3BF7">
        <w:rPr>
          <w:rFonts w:ascii="Arial" w:hAnsi="Arial" w:cs="Arial"/>
          <w:sz w:val="20"/>
          <w:szCs w:val="20"/>
        </w:rPr>
        <w:fldChar w:fldCharType="end"/>
      </w:r>
      <w:r w:rsidR="00EE5663" w:rsidRPr="008E3BF7">
        <w:rPr>
          <w:rFonts w:ascii="Arial" w:hAnsi="Arial" w:cs="Arial"/>
          <w:sz w:val="20"/>
          <w:szCs w:val="20"/>
        </w:rPr>
        <w:t>.</w:t>
      </w:r>
      <w:r w:rsidRPr="008E3BF7">
        <w:rPr>
          <w:rFonts w:ascii="Arial" w:hAnsi="Arial" w:cs="Arial"/>
          <w:sz w:val="20"/>
          <w:szCs w:val="20"/>
        </w:rPr>
        <w:t xml:space="preserve"> A potential outcome is the outcome under a potential treatment. The causal effect of the treatment is the difference between the potential outcome if the treatment is received and the potential outcome if it is not. A univariate time series analysis without regressors was used to obtain potential outcomes in the absence of COVID-19 </w:t>
      </w:r>
      <w:r w:rsidR="00EE5663" w:rsidRPr="008E3BF7">
        <w:rPr>
          <w:rFonts w:ascii="Arial" w:hAnsi="Arial" w:cs="Arial"/>
          <w:sz w:val="20"/>
          <w:szCs w:val="20"/>
        </w:rPr>
        <w:t>by projecting</w:t>
      </w:r>
      <w:r w:rsidRPr="008E3BF7">
        <w:rPr>
          <w:rFonts w:ascii="Arial" w:hAnsi="Arial" w:cs="Arial"/>
          <w:sz w:val="20"/>
          <w:szCs w:val="20"/>
        </w:rPr>
        <w:t xml:space="preserve"> 2012-2019 series to 2020. The use of univariate time series modeling may seem an oversimplification at first. However, as overall pre-epidemics economic conditions were favorable in the </w:t>
      </w:r>
      <w:r w:rsidR="00491ECD" w:rsidRPr="008E3BF7">
        <w:rPr>
          <w:rFonts w:ascii="Arial" w:hAnsi="Arial" w:cs="Arial"/>
          <w:sz w:val="20"/>
          <w:szCs w:val="20"/>
        </w:rPr>
        <w:t>w</w:t>
      </w:r>
      <w:r w:rsidRPr="008E3BF7">
        <w:rPr>
          <w:rFonts w:ascii="Arial" w:hAnsi="Arial" w:cs="Arial"/>
          <w:sz w:val="20"/>
          <w:szCs w:val="20"/>
        </w:rPr>
        <w:t xml:space="preserve">orld, we can expect that all the recent trends could have been projected to 2020 in the absence of the pandemics. In addition, we are interested in 12 month ahead forecasting, and reliable forecasts of influential indicators (currency exchange rate, weather, etc.) are not available many months ahead. Therefore, the choice of the univariate analysis approach seems to be reasonable, especially due to high predictability of tourism flows, which will be demonstrated in the </w:t>
      </w:r>
      <w:r w:rsidR="00491ECD" w:rsidRPr="008E3BF7">
        <w:rPr>
          <w:rFonts w:ascii="Arial" w:hAnsi="Arial" w:cs="Arial"/>
          <w:sz w:val="20"/>
          <w:szCs w:val="20"/>
        </w:rPr>
        <w:t>r</w:t>
      </w:r>
      <w:r w:rsidRPr="008E3BF7">
        <w:rPr>
          <w:rFonts w:ascii="Arial" w:hAnsi="Arial" w:cs="Arial"/>
          <w:sz w:val="20"/>
          <w:szCs w:val="20"/>
        </w:rPr>
        <w:t>esults section.</w:t>
      </w:r>
      <w:r w:rsidR="00EE5CFE" w:rsidRPr="008E3BF7">
        <w:rPr>
          <w:rFonts w:ascii="Arial" w:hAnsi="Arial" w:cs="Arial"/>
          <w:sz w:val="20"/>
          <w:szCs w:val="20"/>
        </w:rPr>
        <w:t xml:space="preserve"> Using the forecasting algorithm </w:t>
      </w:r>
      <w:r w:rsidR="00EE5663" w:rsidRPr="008E3BF7">
        <w:rPr>
          <w:rFonts w:ascii="Arial" w:hAnsi="Arial" w:cs="Arial"/>
          <w:sz w:val="20"/>
          <w:szCs w:val="20"/>
        </w:rPr>
        <w:t>that performed the best on 2019 data</w:t>
      </w:r>
      <w:r w:rsidR="00EE5CFE" w:rsidRPr="008E3BF7">
        <w:rPr>
          <w:rFonts w:ascii="Arial" w:hAnsi="Arial" w:cs="Arial"/>
          <w:sz w:val="20"/>
          <w:szCs w:val="20"/>
        </w:rPr>
        <w:t xml:space="preserve">, </w:t>
      </w:r>
      <w:r w:rsidR="00EE5663" w:rsidRPr="008E3BF7">
        <w:rPr>
          <w:rFonts w:ascii="Arial" w:hAnsi="Arial" w:cs="Arial"/>
          <w:sz w:val="20"/>
          <w:szCs w:val="20"/>
        </w:rPr>
        <w:t>we obtained p</w:t>
      </w:r>
      <w:r w:rsidR="00EE5CFE" w:rsidRPr="008E3BF7">
        <w:rPr>
          <w:rFonts w:ascii="Arial" w:hAnsi="Arial" w:cs="Arial"/>
          <w:sz w:val="20"/>
          <w:szCs w:val="20"/>
        </w:rPr>
        <w:t>oint estimates</w:t>
      </w:r>
      <w:r w:rsidR="00EE5663" w:rsidRPr="008E3BF7">
        <w:rPr>
          <w:rFonts w:ascii="Arial" w:hAnsi="Arial" w:cs="Arial"/>
          <w:sz w:val="20"/>
          <w:szCs w:val="20"/>
        </w:rPr>
        <w:t xml:space="preserve"> for the percentage difference between actual value of the dependent variable and the baseline forecast.</w:t>
      </w:r>
      <w:r w:rsidR="00EE5CFE" w:rsidRPr="008E3BF7">
        <w:rPr>
          <w:rFonts w:ascii="Arial" w:hAnsi="Arial" w:cs="Arial"/>
          <w:sz w:val="20"/>
          <w:szCs w:val="20"/>
        </w:rPr>
        <w:t xml:space="preserve"> 80% uncertainty intervals</w:t>
      </w:r>
      <w:r w:rsidR="00EE5663" w:rsidRPr="008E3BF7">
        <w:rPr>
          <w:rFonts w:ascii="Arial" w:hAnsi="Arial" w:cs="Arial"/>
          <w:sz w:val="20"/>
          <w:szCs w:val="20"/>
        </w:rPr>
        <w:t xml:space="preserve">, commonly used in forecasting (e.g. </w:t>
      </w:r>
      <w:r w:rsidR="00EE5663" w:rsidRPr="008E3BF7">
        <w:rPr>
          <w:rFonts w:ascii="Arial" w:hAnsi="Arial" w:cs="Arial"/>
          <w:noProof/>
          <w:sz w:val="20"/>
          <w:szCs w:val="20"/>
        </w:rPr>
        <w:t>Hyndman and Athanasopoulos</w:t>
      </w:r>
      <w:r w:rsidR="00EE5663" w:rsidRPr="008E3BF7">
        <w:rPr>
          <w:rFonts w:ascii="Arial" w:hAnsi="Arial" w:cs="Arial"/>
          <w:sz w:val="20"/>
          <w:szCs w:val="20"/>
        </w:rPr>
        <w:t xml:space="preserve"> </w:t>
      </w:r>
      <w:r w:rsidR="00EE5663" w:rsidRPr="008E3BF7">
        <w:rPr>
          <w:rFonts w:ascii="Arial" w:hAnsi="Arial" w:cs="Arial"/>
          <w:sz w:val="20"/>
          <w:szCs w:val="20"/>
        </w:rPr>
        <w:fldChar w:fldCharType="begin" w:fldLock="1"/>
      </w:r>
      <w:r w:rsidR="00EE5663" w:rsidRPr="008E3BF7">
        <w:rPr>
          <w:rFonts w:ascii="Arial" w:hAnsi="Arial" w:cs="Arial"/>
          <w:sz w:val="20"/>
          <w:szCs w:val="20"/>
        </w:rPr>
        <w:instrText>ADDIN CSL_CITATION {"citationItems":[{"id":"ITEM-1","itemData":{"author":[{"dropping-particle":"","family":"Hyndman","given":"Rob J","non-dropping-particle":"","parse-names":false,"suffix":""},{"dropping-particle":"","family":"Athanasopoulos","given":"George","non-dropping-particle":"","parse-names":false,"suffix":""}],"id":"ITEM-1","issued":{"date-parts":[["2018"]]},"publisher":"OTexts","title":"Forecasting: principles and practice","type":"book"},"uris":["http://www.mendeley.com/documents/?uuid=938fd874-0e3b-46f7-aa81-197ccc538856"]}],"mendeley":{"formattedCitation":"(Hyndman and Athanasopoulos, 2018)","manualFormatting":"(2018)","plainTextFormattedCitation":"(Hyndman and Athanasopoulos, 2018)","previouslyFormattedCitation":"(Hyndman and Athanasopoulos, 2018)"},"properties":{"noteIndex":0},"schema":"https://github.com/citation-style-language/schema/raw/master/csl-citation.json"}</w:instrText>
      </w:r>
      <w:r w:rsidR="00EE5663" w:rsidRPr="008E3BF7">
        <w:rPr>
          <w:rFonts w:ascii="Arial" w:hAnsi="Arial" w:cs="Arial"/>
          <w:sz w:val="20"/>
          <w:szCs w:val="20"/>
        </w:rPr>
        <w:fldChar w:fldCharType="separate"/>
      </w:r>
      <w:r w:rsidR="00EE5663" w:rsidRPr="008E3BF7">
        <w:rPr>
          <w:rFonts w:ascii="Arial" w:hAnsi="Arial" w:cs="Arial"/>
          <w:noProof/>
          <w:sz w:val="20"/>
          <w:szCs w:val="20"/>
        </w:rPr>
        <w:t>(2018)</w:t>
      </w:r>
      <w:r w:rsidR="00EE5663" w:rsidRPr="008E3BF7">
        <w:rPr>
          <w:rFonts w:ascii="Arial" w:hAnsi="Arial" w:cs="Arial"/>
          <w:sz w:val="20"/>
          <w:szCs w:val="20"/>
        </w:rPr>
        <w:fldChar w:fldCharType="end"/>
      </w:r>
      <w:r w:rsidR="00EE5663" w:rsidRPr="008E3BF7">
        <w:rPr>
          <w:rFonts w:ascii="Arial" w:hAnsi="Arial" w:cs="Arial"/>
          <w:sz w:val="20"/>
          <w:szCs w:val="20"/>
        </w:rPr>
        <w:t xml:space="preserve">) </w:t>
      </w:r>
      <w:r w:rsidR="00EE5CFE" w:rsidRPr="008E3BF7">
        <w:rPr>
          <w:rFonts w:ascii="Arial" w:hAnsi="Arial" w:cs="Arial"/>
          <w:sz w:val="20"/>
          <w:szCs w:val="20"/>
        </w:rPr>
        <w:t>were obtained</w:t>
      </w:r>
      <w:r w:rsidR="00EE5663" w:rsidRPr="008E3BF7">
        <w:rPr>
          <w:rFonts w:ascii="Arial" w:hAnsi="Arial" w:cs="Arial"/>
          <w:sz w:val="20"/>
          <w:szCs w:val="20"/>
        </w:rPr>
        <w:t xml:space="preserve"> as well.</w:t>
      </w:r>
    </w:p>
    <w:p w14:paraId="14ECA21F" w14:textId="74BE7A65" w:rsidR="00F54BFC" w:rsidRPr="008E3BF7" w:rsidRDefault="00F54BFC"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One of the main requirements to forecasting methods applied to our data is that they should have some built-in parameter tuning functionality as the problem involves forecasting hundreds of time series and they cannot be fine-tuned individually. We compare </w:t>
      </w:r>
      <w:r w:rsidRPr="008E3BF7">
        <w:rPr>
          <w:rFonts w:ascii="Arial" w:hAnsi="Arial" w:cs="Arial"/>
          <w:sz w:val="20"/>
          <w:szCs w:val="20"/>
        </w:rPr>
        <w:lastRenderedPageBreak/>
        <w:t>the performance of several state-of-the-art time series modeling techniques using monthly data from 201</w:t>
      </w:r>
      <w:r w:rsidR="00491ECD" w:rsidRPr="008E3BF7">
        <w:rPr>
          <w:rFonts w:ascii="Arial" w:hAnsi="Arial" w:cs="Arial"/>
          <w:sz w:val="20"/>
          <w:szCs w:val="20"/>
        </w:rPr>
        <w:t>2</w:t>
      </w:r>
      <w:r w:rsidRPr="008E3BF7">
        <w:rPr>
          <w:rFonts w:ascii="Arial" w:hAnsi="Arial" w:cs="Arial"/>
          <w:sz w:val="20"/>
          <w:szCs w:val="20"/>
        </w:rPr>
        <w:t xml:space="preserve"> to 2018 as the training sample and 2019 – as the testing sample. Methods are briefly described in the next section of the paper and references to more extensive descriptions are provided. </w:t>
      </w:r>
    </w:p>
    <w:p w14:paraId="41704B52" w14:textId="0B06A88E" w:rsidR="00F54BFC" w:rsidRPr="008E3BF7" w:rsidRDefault="00F54BFC" w:rsidP="00237322">
      <w:pPr>
        <w:spacing w:after="0" w:line="240" w:lineRule="auto"/>
        <w:jc w:val="both"/>
        <w:rPr>
          <w:rFonts w:ascii="Arial" w:hAnsi="Arial" w:cs="Arial"/>
          <w:b/>
          <w:bCs/>
        </w:rPr>
      </w:pPr>
    </w:p>
    <w:p w14:paraId="6FA78D08" w14:textId="545400D4" w:rsidR="0026503F" w:rsidRPr="008E3BF7" w:rsidRDefault="00C86EF5" w:rsidP="00237322">
      <w:pPr>
        <w:pStyle w:val="ListParagraph"/>
        <w:numPr>
          <w:ilvl w:val="1"/>
          <w:numId w:val="15"/>
        </w:numPr>
        <w:spacing w:after="0" w:line="240" w:lineRule="auto"/>
        <w:jc w:val="both"/>
        <w:rPr>
          <w:rFonts w:ascii="Arial" w:hAnsi="Arial" w:cs="Arial"/>
          <w:b/>
          <w:bCs/>
        </w:rPr>
      </w:pPr>
      <w:r w:rsidRPr="008E3BF7">
        <w:rPr>
          <w:rFonts w:ascii="Arial" w:hAnsi="Arial" w:cs="Arial"/>
          <w:b/>
          <w:bCs/>
        </w:rPr>
        <w:t xml:space="preserve"> </w:t>
      </w:r>
      <w:r w:rsidR="00F54BFC" w:rsidRPr="008E3BF7">
        <w:rPr>
          <w:rFonts w:ascii="Arial" w:hAnsi="Arial" w:cs="Arial"/>
          <w:b/>
          <w:bCs/>
        </w:rPr>
        <w:t>Forecasting methods</w:t>
      </w:r>
    </w:p>
    <w:p w14:paraId="3469B71C" w14:textId="11BDF330" w:rsidR="00DB7E01" w:rsidRPr="008E3BF7" w:rsidRDefault="00326365"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One of the main requirements to forecasting methods applied to our data is that they should have some built-in parameter tuning functionality as </w:t>
      </w:r>
      <w:r w:rsidR="008F43D5" w:rsidRPr="008E3BF7">
        <w:rPr>
          <w:rFonts w:ascii="Arial" w:hAnsi="Arial" w:cs="Arial"/>
          <w:sz w:val="20"/>
          <w:szCs w:val="20"/>
        </w:rPr>
        <w:t>the</w:t>
      </w:r>
      <w:r w:rsidRPr="008E3BF7">
        <w:rPr>
          <w:rFonts w:ascii="Arial" w:hAnsi="Arial" w:cs="Arial"/>
          <w:sz w:val="20"/>
          <w:szCs w:val="20"/>
        </w:rPr>
        <w:t xml:space="preserve"> problem involves forecasting hundreds of time series and </w:t>
      </w:r>
      <w:r w:rsidR="0053638A" w:rsidRPr="008E3BF7">
        <w:rPr>
          <w:rFonts w:ascii="Arial" w:hAnsi="Arial" w:cs="Arial"/>
          <w:sz w:val="20"/>
          <w:szCs w:val="20"/>
        </w:rPr>
        <w:t xml:space="preserve">it is hardly possible to </w:t>
      </w:r>
      <w:r w:rsidRPr="008E3BF7">
        <w:rPr>
          <w:rFonts w:ascii="Arial" w:hAnsi="Arial" w:cs="Arial"/>
          <w:sz w:val="20"/>
          <w:szCs w:val="20"/>
        </w:rPr>
        <w:t xml:space="preserve">manually fine-tune each </w:t>
      </w:r>
      <w:r w:rsidR="00877686" w:rsidRPr="008E3BF7">
        <w:rPr>
          <w:rFonts w:ascii="Arial" w:hAnsi="Arial" w:cs="Arial"/>
          <w:sz w:val="20"/>
          <w:szCs w:val="20"/>
        </w:rPr>
        <w:t>model</w:t>
      </w:r>
      <w:r w:rsidRPr="008E3BF7">
        <w:rPr>
          <w:rFonts w:ascii="Arial" w:hAnsi="Arial" w:cs="Arial"/>
          <w:sz w:val="20"/>
          <w:szCs w:val="20"/>
        </w:rPr>
        <w:t xml:space="preserve">. </w:t>
      </w:r>
      <w:r w:rsidR="001958F6" w:rsidRPr="008E3BF7">
        <w:rPr>
          <w:rFonts w:ascii="Arial" w:hAnsi="Arial" w:cs="Arial"/>
          <w:sz w:val="20"/>
          <w:szCs w:val="20"/>
        </w:rPr>
        <w:t>W</w:t>
      </w:r>
      <w:r w:rsidR="001051D0" w:rsidRPr="008E3BF7">
        <w:rPr>
          <w:rFonts w:ascii="Arial" w:hAnsi="Arial" w:cs="Arial"/>
          <w:sz w:val="20"/>
          <w:szCs w:val="20"/>
        </w:rPr>
        <w:t xml:space="preserve">e compare the performance of several </w:t>
      </w:r>
      <w:r w:rsidRPr="008E3BF7">
        <w:rPr>
          <w:rFonts w:ascii="Arial" w:hAnsi="Arial" w:cs="Arial"/>
          <w:sz w:val="20"/>
          <w:szCs w:val="20"/>
        </w:rPr>
        <w:t xml:space="preserve">state-of-the-art </w:t>
      </w:r>
      <w:r w:rsidR="001051D0" w:rsidRPr="008E3BF7">
        <w:rPr>
          <w:rFonts w:ascii="Arial" w:hAnsi="Arial" w:cs="Arial"/>
          <w:sz w:val="20"/>
          <w:szCs w:val="20"/>
        </w:rPr>
        <w:t xml:space="preserve">time series modeling techniques: </w:t>
      </w:r>
      <w:r w:rsidR="00CC5961" w:rsidRPr="008E3BF7">
        <w:rPr>
          <w:rFonts w:ascii="Arial" w:hAnsi="Arial" w:cs="Arial"/>
          <w:sz w:val="20"/>
          <w:szCs w:val="20"/>
        </w:rPr>
        <w:t xml:space="preserve">Automated </w:t>
      </w:r>
      <w:r w:rsidR="00107087" w:rsidRPr="008E3BF7">
        <w:rPr>
          <w:rFonts w:ascii="Arial" w:hAnsi="Arial" w:cs="Arial"/>
          <w:sz w:val="20"/>
          <w:szCs w:val="20"/>
        </w:rPr>
        <w:t>S</w:t>
      </w:r>
      <w:r w:rsidR="00CC5961" w:rsidRPr="008E3BF7">
        <w:rPr>
          <w:rFonts w:ascii="Arial" w:hAnsi="Arial" w:cs="Arial"/>
          <w:sz w:val="20"/>
          <w:szCs w:val="20"/>
        </w:rPr>
        <w:t>easonal ARIMA</w:t>
      </w:r>
      <w:r w:rsidR="001051D0" w:rsidRPr="008E3BF7">
        <w:rPr>
          <w:rFonts w:ascii="Arial" w:hAnsi="Arial" w:cs="Arial"/>
          <w:sz w:val="20"/>
          <w:szCs w:val="20"/>
        </w:rPr>
        <w:t xml:space="preserve">, </w:t>
      </w:r>
      <w:r w:rsidR="00107087" w:rsidRPr="008E3BF7">
        <w:rPr>
          <w:rFonts w:ascii="Arial" w:hAnsi="Arial" w:cs="Arial"/>
          <w:sz w:val="20"/>
          <w:szCs w:val="20"/>
        </w:rPr>
        <w:t>Neural Network Autoregression (NNETAR), State space models of exponential smoothing (ETS)</w:t>
      </w:r>
      <w:r w:rsidR="001051D0" w:rsidRPr="008E3BF7">
        <w:rPr>
          <w:rFonts w:ascii="Arial" w:hAnsi="Arial" w:cs="Arial"/>
          <w:sz w:val="20"/>
          <w:szCs w:val="20"/>
        </w:rPr>
        <w:t xml:space="preserve">, and </w:t>
      </w:r>
      <w:r w:rsidR="005412DF" w:rsidRPr="008E3BF7">
        <w:rPr>
          <w:rFonts w:ascii="Arial" w:hAnsi="Arial" w:cs="Arial"/>
          <w:sz w:val="20"/>
          <w:szCs w:val="20"/>
        </w:rPr>
        <w:t xml:space="preserve">the </w:t>
      </w:r>
      <w:r w:rsidR="00107087" w:rsidRPr="008E3BF7">
        <w:rPr>
          <w:rFonts w:ascii="Arial" w:hAnsi="Arial" w:cs="Arial"/>
          <w:sz w:val="20"/>
          <w:szCs w:val="20"/>
        </w:rPr>
        <w:t xml:space="preserve">Prophet algorithm. </w:t>
      </w:r>
      <w:r w:rsidR="001051D0" w:rsidRPr="008E3BF7">
        <w:rPr>
          <w:rFonts w:ascii="Arial" w:hAnsi="Arial" w:cs="Arial"/>
          <w:sz w:val="20"/>
          <w:szCs w:val="20"/>
        </w:rPr>
        <w:t xml:space="preserve"> </w:t>
      </w:r>
      <w:r w:rsidR="00107087" w:rsidRPr="008E3BF7">
        <w:rPr>
          <w:rFonts w:ascii="Arial" w:hAnsi="Arial" w:cs="Arial"/>
          <w:sz w:val="20"/>
          <w:szCs w:val="20"/>
        </w:rPr>
        <w:t>D</w:t>
      </w:r>
      <w:r w:rsidR="001051D0" w:rsidRPr="008E3BF7">
        <w:rPr>
          <w:rFonts w:ascii="Arial" w:hAnsi="Arial" w:cs="Arial"/>
          <w:sz w:val="20"/>
          <w:szCs w:val="20"/>
        </w:rPr>
        <w:t>ata from 201</w:t>
      </w:r>
      <w:r w:rsidR="00491ECD" w:rsidRPr="008E3BF7">
        <w:rPr>
          <w:rFonts w:ascii="Arial" w:hAnsi="Arial" w:cs="Arial"/>
          <w:sz w:val="20"/>
          <w:szCs w:val="20"/>
        </w:rPr>
        <w:t>2</w:t>
      </w:r>
      <w:r w:rsidR="001051D0" w:rsidRPr="008E3BF7">
        <w:rPr>
          <w:rFonts w:ascii="Arial" w:hAnsi="Arial" w:cs="Arial"/>
          <w:sz w:val="20"/>
          <w:szCs w:val="20"/>
        </w:rPr>
        <w:t xml:space="preserve"> to 2018 </w:t>
      </w:r>
      <w:r w:rsidR="00491ECD" w:rsidRPr="008E3BF7">
        <w:rPr>
          <w:rFonts w:ascii="Arial" w:hAnsi="Arial" w:cs="Arial"/>
          <w:sz w:val="20"/>
          <w:szCs w:val="20"/>
        </w:rPr>
        <w:t xml:space="preserve">was used </w:t>
      </w:r>
      <w:r w:rsidR="001051D0" w:rsidRPr="008E3BF7">
        <w:rPr>
          <w:rFonts w:ascii="Arial" w:hAnsi="Arial" w:cs="Arial"/>
          <w:sz w:val="20"/>
          <w:szCs w:val="20"/>
        </w:rPr>
        <w:t xml:space="preserve">as the training sample and 2019 – as the testing sample. </w:t>
      </w:r>
    </w:p>
    <w:p w14:paraId="268F4D97" w14:textId="47771A24" w:rsidR="00CC5961" w:rsidRPr="008E3BF7" w:rsidRDefault="00107087"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All models were fitted on 84 months</w:t>
      </w:r>
      <w:r w:rsidR="00321D21" w:rsidRPr="008E3BF7">
        <w:rPr>
          <w:rFonts w:ascii="Arial" w:hAnsi="Arial" w:cs="Arial"/>
          <w:color w:val="000000"/>
          <w:sz w:val="20"/>
          <w:szCs w:val="20"/>
          <w:shd w:val="clear" w:color="auto" w:fill="FFFFFF"/>
        </w:rPr>
        <w:t xml:space="preserve"> of training data</w:t>
      </w:r>
      <w:r w:rsidRPr="008E3BF7">
        <w:rPr>
          <w:rFonts w:ascii="Arial" w:hAnsi="Arial" w:cs="Arial"/>
          <w:color w:val="000000"/>
          <w:sz w:val="20"/>
          <w:szCs w:val="20"/>
          <w:shd w:val="clear" w:color="auto" w:fill="FFFFFF"/>
        </w:rPr>
        <w:t xml:space="preserve"> (January 2012</w:t>
      </w:r>
      <w:r w:rsidR="00491ECD" w:rsidRPr="008E3BF7">
        <w:rPr>
          <w:rFonts w:ascii="Arial" w:hAnsi="Arial" w:cs="Arial"/>
          <w:sz w:val="20"/>
          <w:szCs w:val="20"/>
        </w:rPr>
        <w:t xml:space="preserve"> – </w:t>
      </w:r>
      <w:r w:rsidRPr="008E3BF7">
        <w:rPr>
          <w:rFonts w:ascii="Arial" w:hAnsi="Arial" w:cs="Arial"/>
          <w:color w:val="000000"/>
          <w:sz w:val="20"/>
          <w:szCs w:val="20"/>
          <w:shd w:val="clear" w:color="auto" w:fill="FFFFFF"/>
        </w:rPr>
        <w:t xml:space="preserve">December 2018). A comparison of methods was done based on their performance in terms of their mean absolute percentage error (MAPE) on the testing sample containing all 12 months of 2019. </w:t>
      </w:r>
      <w:r w:rsidR="00385D70" w:rsidRPr="008E3BF7">
        <w:rPr>
          <w:rFonts w:ascii="Arial" w:hAnsi="Arial" w:cs="Arial"/>
          <w:sz w:val="20"/>
          <w:szCs w:val="20"/>
        </w:rPr>
        <w:t xml:space="preserve">In addition, a few cases were </w:t>
      </w:r>
      <w:r w:rsidR="00491ECD" w:rsidRPr="008E3BF7">
        <w:rPr>
          <w:rFonts w:ascii="Arial" w:hAnsi="Arial" w:cs="Arial"/>
          <w:sz w:val="20"/>
          <w:szCs w:val="20"/>
        </w:rPr>
        <w:t>scrutinized</w:t>
      </w:r>
      <w:r w:rsidR="00385D70" w:rsidRPr="008E3BF7">
        <w:rPr>
          <w:rFonts w:ascii="Arial" w:hAnsi="Arial" w:cs="Arial"/>
          <w:sz w:val="20"/>
          <w:szCs w:val="20"/>
        </w:rPr>
        <w:t xml:space="preserve"> to make sure that the winning methods make sensible forecasts from a judgmental point of view. Each of the time series forecasting methods compared in our study is briefly described below.</w:t>
      </w:r>
    </w:p>
    <w:p w14:paraId="4E0C2385" w14:textId="62A0580B" w:rsidR="0053638A" w:rsidRPr="008E3BF7" w:rsidRDefault="0053638A" w:rsidP="00237322">
      <w:pPr>
        <w:spacing w:after="0" w:line="240" w:lineRule="auto"/>
        <w:jc w:val="both"/>
        <w:rPr>
          <w:rFonts w:ascii="Arial" w:hAnsi="Arial" w:cs="Arial"/>
          <w:sz w:val="20"/>
          <w:szCs w:val="20"/>
        </w:rPr>
      </w:pPr>
    </w:p>
    <w:p w14:paraId="2D3A2E9C" w14:textId="135D9073" w:rsidR="00DC022F" w:rsidRPr="008E3BF7" w:rsidRDefault="006B275A" w:rsidP="00237322">
      <w:pPr>
        <w:spacing w:after="0" w:line="240" w:lineRule="auto"/>
        <w:jc w:val="both"/>
        <w:rPr>
          <w:rFonts w:ascii="Arial" w:hAnsi="Arial" w:cs="Arial"/>
          <w:b/>
          <w:bCs/>
          <w:sz w:val="20"/>
          <w:szCs w:val="20"/>
        </w:rPr>
      </w:pPr>
      <w:r w:rsidRPr="008E3BF7">
        <w:rPr>
          <w:rFonts w:ascii="Arial" w:hAnsi="Arial" w:cs="Arial"/>
          <w:b/>
          <w:bCs/>
          <w:sz w:val="20"/>
          <w:szCs w:val="20"/>
        </w:rPr>
        <w:t xml:space="preserve">Automated </w:t>
      </w:r>
      <w:r w:rsidR="00DC022F" w:rsidRPr="008E3BF7">
        <w:rPr>
          <w:rFonts w:ascii="Arial" w:hAnsi="Arial" w:cs="Arial"/>
          <w:b/>
          <w:bCs/>
          <w:sz w:val="20"/>
          <w:szCs w:val="20"/>
        </w:rPr>
        <w:t>Seasonal ARIMA</w:t>
      </w:r>
    </w:p>
    <w:p w14:paraId="6360DB2C" w14:textId="2D6FC27D" w:rsidR="00DC022F" w:rsidRPr="008E3BF7" w:rsidRDefault="00DC022F" w:rsidP="00237322">
      <w:pPr>
        <w:spacing w:after="0" w:line="240" w:lineRule="auto"/>
        <w:ind w:firstLine="720"/>
        <w:jc w:val="both"/>
        <w:rPr>
          <w:rFonts w:ascii="Arial" w:hAnsi="Arial" w:cs="Arial"/>
          <w:sz w:val="20"/>
          <w:szCs w:val="20"/>
        </w:rPr>
      </w:pPr>
      <w:r w:rsidRPr="008E3BF7">
        <w:rPr>
          <w:rFonts w:ascii="Arial" w:hAnsi="Arial" w:cs="Arial"/>
          <w:sz w:val="20"/>
          <w:szCs w:val="20"/>
        </w:rPr>
        <w:t>Seasonal ARIMA</w:t>
      </w:r>
      <w:r w:rsidRPr="008E3BF7">
        <w:rPr>
          <w:rFonts w:ascii="Arial" w:hAnsi="Arial" w:cs="Arial"/>
          <w:i/>
          <w:iCs/>
          <w:sz w:val="20"/>
          <w:szCs w:val="20"/>
        </w:rPr>
        <w:t>(</w:t>
      </w:r>
      <w:proofErr w:type="spellStart"/>
      <w:proofErr w:type="gramStart"/>
      <w:r w:rsidRPr="008E3BF7">
        <w:rPr>
          <w:rFonts w:ascii="Arial" w:hAnsi="Arial" w:cs="Arial"/>
          <w:i/>
          <w:iCs/>
          <w:sz w:val="20"/>
          <w:szCs w:val="20"/>
        </w:rPr>
        <w:t>p,d</w:t>
      </w:r>
      <w:proofErr w:type="gramEnd"/>
      <w:r w:rsidRPr="008E3BF7">
        <w:rPr>
          <w:rFonts w:ascii="Arial" w:hAnsi="Arial" w:cs="Arial"/>
          <w:i/>
          <w:iCs/>
          <w:sz w:val="20"/>
          <w:szCs w:val="20"/>
        </w:rPr>
        <w:t>,q</w:t>
      </w:r>
      <w:proofErr w:type="spellEnd"/>
      <w:r w:rsidRPr="008E3BF7">
        <w:rPr>
          <w:rFonts w:ascii="Arial" w:hAnsi="Arial" w:cs="Arial"/>
          <w:i/>
          <w:iCs/>
          <w:sz w:val="20"/>
          <w:szCs w:val="20"/>
        </w:rPr>
        <w:t>)(P,D,Q)</w:t>
      </w:r>
      <w:r w:rsidR="006B275A" w:rsidRPr="008E3BF7">
        <w:rPr>
          <w:rFonts w:ascii="Arial" w:hAnsi="Arial" w:cs="Arial"/>
          <w:i/>
          <w:iCs/>
          <w:sz w:val="20"/>
          <w:szCs w:val="20"/>
          <w:vertAlign w:val="subscript"/>
        </w:rPr>
        <w:t>m</w:t>
      </w:r>
      <w:r w:rsidRPr="008E3BF7">
        <w:rPr>
          <w:rFonts w:ascii="Arial" w:hAnsi="Arial" w:cs="Arial"/>
          <w:sz w:val="20"/>
          <w:szCs w:val="20"/>
        </w:rPr>
        <w:t xml:space="preserve"> models use </w:t>
      </w:r>
      <w:r w:rsidRPr="008E3BF7">
        <w:rPr>
          <w:rFonts w:ascii="Arial" w:hAnsi="Arial" w:cs="Arial"/>
          <w:i/>
          <w:iCs/>
          <w:sz w:val="20"/>
          <w:szCs w:val="20"/>
        </w:rPr>
        <w:t>p</w:t>
      </w:r>
      <w:r w:rsidRPr="008E3BF7">
        <w:rPr>
          <w:rFonts w:ascii="Arial" w:hAnsi="Arial" w:cs="Arial"/>
          <w:sz w:val="20"/>
          <w:szCs w:val="20"/>
        </w:rPr>
        <w:t xml:space="preserve"> past values of the forecast variables, as well as </w:t>
      </w:r>
      <w:r w:rsidRPr="008E3BF7">
        <w:rPr>
          <w:rFonts w:ascii="Arial" w:hAnsi="Arial" w:cs="Arial"/>
          <w:i/>
          <w:iCs/>
          <w:sz w:val="20"/>
          <w:szCs w:val="20"/>
        </w:rPr>
        <w:t>q</w:t>
      </w:r>
      <w:r w:rsidRPr="008E3BF7">
        <w:rPr>
          <w:rFonts w:ascii="Arial" w:hAnsi="Arial" w:cs="Arial"/>
          <w:sz w:val="20"/>
          <w:szCs w:val="20"/>
        </w:rPr>
        <w:t xml:space="preserve"> past forecast errors in  regression-like model. The original series is differenced </w:t>
      </w:r>
      <w:r w:rsidRPr="008E3BF7">
        <w:rPr>
          <w:rFonts w:ascii="Arial" w:hAnsi="Arial" w:cs="Arial"/>
          <w:i/>
          <w:iCs/>
          <w:sz w:val="20"/>
          <w:szCs w:val="20"/>
        </w:rPr>
        <w:t>d</w:t>
      </w:r>
      <w:r w:rsidRPr="008E3BF7">
        <w:rPr>
          <w:rFonts w:ascii="Arial" w:hAnsi="Arial" w:cs="Arial"/>
          <w:sz w:val="20"/>
          <w:szCs w:val="20"/>
        </w:rPr>
        <w:t xml:space="preserve"> times if it is non-stationary. The seasonal part of the model </w:t>
      </w:r>
      <w:r w:rsidR="00491ECD" w:rsidRPr="008E3BF7">
        <w:rPr>
          <w:rFonts w:ascii="Arial" w:hAnsi="Arial" w:cs="Arial"/>
          <w:sz w:val="20"/>
          <w:szCs w:val="20"/>
        </w:rPr>
        <w:t>(</w:t>
      </w:r>
      <w:proofErr w:type="gramStart"/>
      <w:r w:rsidR="00491ECD" w:rsidRPr="008E3BF7">
        <w:rPr>
          <w:rFonts w:ascii="Arial" w:hAnsi="Arial" w:cs="Arial"/>
          <w:i/>
          <w:iCs/>
          <w:sz w:val="20"/>
          <w:szCs w:val="20"/>
        </w:rPr>
        <w:t>P,D</w:t>
      </w:r>
      <w:proofErr w:type="gramEnd"/>
      <w:r w:rsidR="00491ECD" w:rsidRPr="008E3BF7">
        <w:rPr>
          <w:rFonts w:ascii="Arial" w:hAnsi="Arial" w:cs="Arial"/>
          <w:i/>
          <w:iCs/>
          <w:sz w:val="20"/>
          <w:szCs w:val="20"/>
        </w:rPr>
        <w:t>,Q</w:t>
      </w:r>
      <w:r w:rsidR="00491ECD" w:rsidRPr="008E3BF7">
        <w:rPr>
          <w:rFonts w:ascii="Arial" w:hAnsi="Arial" w:cs="Arial"/>
          <w:sz w:val="20"/>
          <w:szCs w:val="20"/>
        </w:rPr>
        <w:t xml:space="preserve">) </w:t>
      </w:r>
      <w:r w:rsidRPr="008E3BF7">
        <w:rPr>
          <w:rFonts w:ascii="Arial" w:hAnsi="Arial" w:cs="Arial"/>
          <w:sz w:val="20"/>
          <w:szCs w:val="20"/>
        </w:rPr>
        <w:t xml:space="preserve">consists of terms that are similar to the non-seasonal components of the </w:t>
      </w:r>
      <w:r w:rsidR="00732CE8" w:rsidRPr="008E3BF7">
        <w:rPr>
          <w:rFonts w:ascii="Arial" w:hAnsi="Arial" w:cs="Arial"/>
          <w:sz w:val="20"/>
          <w:szCs w:val="20"/>
        </w:rPr>
        <w:t>model but</w:t>
      </w:r>
      <w:r w:rsidRPr="008E3BF7">
        <w:rPr>
          <w:rFonts w:ascii="Arial" w:hAnsi="Arial" w:cs="Arial"/>
          <w:sz w:val="20"/>
          <w:szCs w:val="20"/>
        </w:rPr>
        <w:t xml:space="preserve"> involve backshifts of the seasonal period (</w:t>
      </w:r>
      <w:r w:rsidRPr="008E3BF7">
        <w:rPr>
          <w:rFonts w:ascii="Arial" w:hAnsi="Arial" w:cs="Arial"/>
          <w:i/>
          <w:iCs/>
          <w:sz w:val="20"/>
          <w:szCs w:val="20"/>
        </w:rPr>
        <w:t>m</w:t>
      </w:r>
      <w:r w:rsidRPr="008E3BF7">
        <w:rPr>
          <w:rFonts w:ascii="Arial" w:hAnsi="Arial" w:cs="Arial"/>
          <w:sz w:val="20"/>
          <w:szCs w:val="20"/>
        </w:rPr>
        <w:t xml:space="preserve">). In the case of monthly data </w:t>
      </w:r>
      <w:r w:rsidRPr="008E3BF7">
        <w:rPr>
          <w:rFonts w:ascii="Arial" w:hAnsi="Arial" w:cs="Arial"/>
          <w:i/>
          <w:iCs/>
          <w:sz w:val="20"/>
          <w:szCs w:val="20"/>
        </w:rPr>
        <w:t>m</w:t>
      </w:r>
      <w:r w:rsidRPr="008E3BF7">
        <w:rPr>
          <w:rFonts w:ascii="Arial" w:hAnsi="Arial" w:cs="Arial"/>
          <w:sz w:val="20"/>
          <w:szCs w:val="20"/>
        </w:rPr>
        <w:t>=12. We used a variation of the Hyndman-</w:t>
      </w:r>
      <w:proofErr w:type="spellStart"/>
      <w:r w:rsidRPr="008E3BF7">
        <w:rPr>
          <w:rFonts w:ascii="Arial" w:hAnsi="Arial" w:cs="Arial"/>
          <w:sz w:val="20"/>
          <w:szCs w:val="20"/>
        </w:rPr>
        <w:t>Khandakar</w:t>
      </w:r>
      <w:proofErr w:type="spellEnd"/>
      <w:r w:rsidRPr="008E3BF7">
        <w:rPr>
          <w:rFonts w:ascii="Arial" w:hAnsi="Arial" w:cs="Arial"/>
          <w:sz w:val="20"/>
          <w:szCs w:val="20"/>
        </w:rPr>
        <w:t xml:space="preserve"> algorithm </w:t>
      </w:r>
      <w:r w:rsidR="009C3F30" w:rsidRPr="008E3BF7">
        <w:rPr>
          <w:rFonts w:ascii="Arial" w:hAnsi="Arial" w:cs="Arial"/>
          <w:sz w:val="20"/>
          <w:szCs w:val="20"/>
        </w:rPr>
        <w:fldChar w:fldCharType="begin" w:fldLock="1"/>
      </w:r>
      <w:r w:rsidR="008C2BBE" w:rsidRPr="008E3BF7">
        <w:rPr>
          <w:rFonts w:ascii="Arial" w:hAnsi="Arial" w:cs="Arial"/>
          <w:sz w:val="20"/>
          <w:szCs w:val="20"/>
        </w:rPr>
        <w:instrText>ADDIN CSL_CITATION {"citationItems":[{"id":"ITEM-1","itemData":{"author":[{"dropping-particle":"","family":"Hyndman","given":"Robin John","non-dropping-particle":"","parse-names":false,"suffix":""},{"dropping-particle":"","family":"Khandakar","given":"Yeasmin","non-dropping-particle":"","parse-names":false,"suffix":""}],"container-title":"Journal of Statistical Software","id":"ITEM-1","issue":"3","issued":{"date-parts":[["2008"]]},"page":"1-22","title":"Automatic time series forecasting: The forecast Package for R","type":"article-journal","volume":"27"},"uris":["http://www.mendeley.com/documents/?uuid=829f62b5-557b-4add-8749-852e722f7101"]}],"mendeley":{"formattedCitation":"(Hyndman and Khandakar, 2008)","plainTextFormattedCitation":"(Hyndman and Khandakar, 2008)","previouslyFormattedCitation":"(Hyndman and Khandakar, 2008)"},"properties":{"noteIndex":0},"schema":"https://github.com/citation-style-language/schema/raw/master/csl-citation.json"}</w:instrText>
      </w:r>
      <w:r w:rsidR="009C3F30" w:rsidRPr="008E3BF7">
        <w:rPr>
          <w:rFonts w:ascii="Arial" w:hAnsi="Arial" w:cs="Arial"/>
          <w:sz w:val="20"/>
          <w:szCs w:val="20"/>
        </w:rPr>
        <w:fldChar w:fldCharType="separate"/>
      </w:r>
      <w:r w:rsidR="009C3F30" w:rsidRPr="008E3BF7">
        <w:rPr>
          <w:rFonts w:ascii="Arial" w:hAnsi="Arial" w:cs="Arial"/>
          <w:noProof/>
          <w:sz w:val="20"/>
          <w:szCs w:val="20"/>
        </w:rPr>
        <w:t>(Hyndman and Khandakar, 2008)</w:t>
      </w:r>
      <w:r w:rsidR="009C3F30" w:rsidRPr="008E3BF7">
        <w:rPr>
          <w:rFonts w:ascii="Arial" w:hAnsi="Arial" w:cs="Arial"/>
          <w:sz w:val="20"/>
          <w:szCs w:val="20"/>
        </w:rPr>
        <w:fldChar w:fldCharType="end"/>
      </w:r>
      <w:r w:rsidR="009C3F30" w:rsidRPr="008E3BF7">
        <w:rPr>
          <w:rFonts w:ascii="Arial" w:hAnsi="Arial" w:cs="Arial"/>
          <w:sz w:val="20"/>
          <w:szCs w:val="20"/>
        </w:rPr>
        <w:t>,</w:t>
      </w:r>
      <w:r w:rsidRPr="008E3BF7">
        <w:rPr>
          <w:rFonts w:ascii="Arial" w:hAnsi="Arial" w:cs="Arial"/>
          <w:sz w:val="20"/>
          <w:szCs w:val="20"/>
        </w:rPr>
        <w:t xml:space="preserve"> implemented in the </w:t>
      </w:r>
      <w:proofErr w:type="spellStart"/>
      <w:r w:rsidRPr="008E3BF7">
        <w:rPr>
          <w:rFonts w:ascii="Arial" w:hAnsi="Arial" w:cs="Arial"/>
          <w:i/>
          <w:iCs/>
          <w:sz w:val="20"/>
          <w:szCs w:val="20"/>
        </w:rPr>
        <w:t>auto.arima</w:t>
      </w:r>
      <w:proofErr w:type="spellEnd"/>
      <w:r w:rsidR="00CC5961" w:rsidRPr="008E3BF7">
        <w:rPr>
          <w:rFonts w:ascii="Arial" w:hAnsi="Arial" w:cs="Arial"/>
          <w:sz w:val="20"/>
          <w:szCs w:val="20"/>
        </w:rPr>
        <w:t xml:space="preserve"> </w:t>
      </w:r>
      <w:r w:rsidRPr="008E3BF7">
        <w:rPr>
          <w:rFonts w:ascii="Arial" w:hAnsi="Arial" w:cs="Arial"/>
          <w:sz w:val="20"/>
          <w:szCs w:val="20"/>
        </w:rPr>
        <w:t xml:space="preserve">function of the </w:t>
      </w:r>
      <w:r w:rsidRPr="008E3BF7">
        <w:rPr>
          <w:rFonts w:ascii="Arial" w:hAnsi="Arial" w:cs="Arial"/>
          <w:i/>
          <w:iCs/>
          <w:sz w:val="20"/>
          <w:szCs w:val="20"/>
        </w:rPr>
        <w:t>forecast</w:t>
      </w:r>
      <w:r w:rsidRPr="008E3BF7">
        <w:rPr>
          <w:rFonts w:ascii="Arial" w:hAnsi="Arial" w:cs="Arial"/>
          <w:sz w:val="20"/>
          <w:szCs w:val="20"/>
        </w:rPr>
        <w:t xml:space="preserve"> package</w:t>
      </w:r>
      <w:r w:rsidR="00732CE8" w:rsidRPr="008E3BF7">
        <w:rPr>
          <w:rFonts w:ascii="Arial" w:hAnsi="Arial" w:cs="Arial"/>
          <w:sz w:val="20"/>
          <w:szCs w:val="20"/>
        </w:rPr>
        <w:t xml:space="preserve"> for R</w:t>
      </w:r>
      <w:r w:rsidRPr="008E3BF7">
        <w:rPr>
          <w:rFonts w:ascii="Arial" w:hAnsi="Arial" w:cs="Arial"/>
          <w:sz w:val="20"/>
          <w:szCs w:val="20"/>
        </w:rPr>
        <w:t xml:space="preserve">. The automated ARIMA procedure combines unit root tests, </w:t>
      </w:r>
      <w:r w:rsidR="00CC5961" w:rsidRPr="008E3BF7">
        <w:rPr>
          <w:rFonts w:ascii="Arial" w:hAnsi="Arial" w:cs="Arial"/>
          <w:sz w:val="20"/>
          <w:szCs w:val="20"/>
        </w:rPr>
        <w:t>minimization</w:t>
      </w:r>
      <w:r w:rsidRPr="008E3BF7">
        <w:rPr>
          <w:rFonts w:ascii="Arial" w:hAnsi="Arial" w:cs="Arial"/>
          <w:sz w:val="20"/>
          <w:szCs w:val="20"/>
        </w:rPr>
        <w:t xml:space="preserve"> of the </w:t>
      </w:r>
      <w:proofErr w:type="spellStart"/>
      <w:r w:rsidRPr="008E3BF7">
        <w:rPr>
          <w:rFonts w:ascii="Arial" w:hAnsi="Arial" w:cs="Arial"/>
          <w:sz w:val="20"/>
          <w:szCs w:val="20"/>
        </w:rPr>
        <w:t>AICc</w:t>
      </w:r>
      <w:proofErr w:type="spellEnd"/>
      <w:r w:rsidR="00CC5961" w:rsidRPr="008E3BF7">
        <w:rPr>
          <w:rFonts w:ascii="Arial" w:hAnsi="Arial" w:cs="Arial"/>
          <w:sz w:val="20"/>
          <w:szCs w:val="20"/>
        </w:rPr>
        <w:t xml:space="preserve"> (</w:t>
      </w:r>
      <w:r w:rsidR="00CC5961" w:rsidRPr="008E3BF7">
        <w:rPr>
          <w:rFonts w:ascii="Arial" w:hAnsi="Arial" w:cs="Arial"/>
          <w:color w:val="202122"/>
          <w:sz w:val="20"/>
          <w:szCs w:val="20"/>
          <w:shd w:val="clear" w:color="auto" w:fill="FFFFFF"/>
        </w:rPr>
        <w:t>AIC with a correction for small sample sizes)</w:t>
      </w:r>
      <w:r w:rsidRPr="008E3BF7">
        <w:rPr>
          <w:rFonts w:ascii="Arial" w:hAnsi="Arial" w:cs="Arial"/>
          <w:sz w:val="20"/>
          <w:szCs w:val="20"/>
        </w:rPr>
        <w:t xml:space="preserve"> and MLE to obtain an ARIMA model:</w:t>
      </w:r>
    </w:p>
    <w:p w14:paraId="15C5046C" w14:textId="2FFC6B68"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 xml:space="preserve">The number of </w:t>
      </w:r>
      <w:r w:rsidR="00732CE8" w:rsidRPr="008E3BF7">
        <w:rPr>
          <w:rFonts w:ascii="Arial" w:hAnsi="Arial" w:cs="Arial"/>
          <w:sz w:val="20"/>
          <w:szCs w:val="20"/>
        </w:rPr>
        <w:t>differences 0</w:t>
      </w:r>
      <w:r w:rsidRPr="008E3BF7">
        <w:rPr>
          <w:rFonts w:ascii="Arial" w:hAnsi="Arial" w:cs="Arial"/>
          <w:sz w:val="20"/>
          <w:szCs w:val="20"/>
        </w:rPr>
        <w:t>≤d≤2 is determined using KPSS tests of stationarity.</w:t>
      </w:r>
    </w:p>
    <w:p w14:paraId="42476A1E" w14:textId="08C3E214"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 xml:space="preserve">The values </w:t>
      </w:r>
      <w:r w:rsidR="006B275A" w:rsidRPr="008E3BF7">
        <w:rPr>
          <w:rFonts w:ascii="Arial" w:hAnsi="Arial" w:cs="Arial"/>
          <w:sz w:val="20"/>
          <w:szCs w:val="20"/>
        </w:rPr>
        <w:t xml:space="preserve">of </w:t>
      </w:r>
      <w:r w:rsidR="006B275A" w:rsidRPr="008E3BF7">
        <w:rPr>
          <w:rFonts w:ascii="Arial" w:hAnsi="Arial" w:cs="Arial"/>
          <w:i/>
          <w:iCs/>
          <w:sz w:val="20"/>
          <w:szCs w:val="20"/>
        </w:rPr>
        <w:t>p</w:t>
      </w:r>
      <w:r w:rsidRPr="008E3BF7">
        <w:rPr>
          <w:rFonts w:ascii="Arial" w:hAnsi="Arial" w:cs="Arial"/>
          <w:i/>
          <w:iCs/>
          <w:sz w:val="20"/>
          <w:szCs w:val="20"/>
        </w:rPr>
        <w:t xml:space="preserve"> </w:t>
      </w:r>
      <w:r w:rsidR="00732CE8" w:rsidRPr="008E3BF7">
        <w:rPr>
          <w:rFonts w:ascii="Arial" w:hAnsi="Arial" w:cs="Arial"/>
          <w:sz w:val="20"/>
          <w:szCs w:val="20"/>
        </w:rPr>
        <w:t xml:space="preserve">and </w:t>
      </w:r>
      <w:r w:rsidR="00732CE8" w:rsidRPr="008E3BF7">
        <w:rPr>
          <w:rFonts w:ascii="Arial" w:hAnsi="Arial" w:cs="Arial"/>
          <w:i/>
          <w:iCs/>
          <w:sz w:val="20"/>
          <w:szCs w:val="20"/>
        </w:rPr>
        <w:t>q</w:t>
      </w:r>
      <w:r w:rsidRPr="008E3BF7">
        <w:rPr>
          <w:rFonts w:ascii="Arial" w:hAnsi="Arial" w:cs="Arial"/>
          <w:sz w:val="20"/>
          <w:szCs w:val="20"/>
        </w:rPr>
        <w:t xml:space="preserve"> are then chosen by </w:t>
      </w:r>
      <w:r w:rsidR="00732CE8" w:rsidRPr="008E3BF7">
        <w:rPr>
          <w:rFonts w:ascii="Arial" w:hAnsi="Arial" w:cs="Arial"/>
          <w:sz w:val="20"/>
          <w:szCs w:val="20"/>
        </w:rPr>
        <w:t>minimizing</w:t>
      </w:r>
      <w:r w:rsidRPr="008E3BF7">
        <w:rPr>
          <w:rFonts w:ascii="Arial" w:hAnsi="Arial" w:cs="Arial"/>
          <w:sz w:val="20"/>
          <w:szCs w:val="20"/>
        </w:rPr>
        <w:t xml:space="preserve"> the </w:t>
      </w:r>
      <w:proofErr w:type="spellStart"/>
      <w:r w:rsidRPr="008E3BF7">
        <w:rPr>
          <w:rFonts w:ascii="Arial" w:hAnsi="Arial" w:cs="Arial"/>
          <w:sz w:val="20"/>
          <w:szCs w:val="20"/>
        </w:rPr>
        <w:t>AICc</w:t>
      </w:r>
      <w:proofErr w:type="spellEnd"/>
      <w:r w:rsidRPr="008E3BF7">
        <w:rPr>
          <w:rFonts w:ascii="Arial" w:hAnsi="Arial" w:cs="Arial"/>
          <w:sz w:val="20"/>
          <w:szCs w:val="20"/>
        </w:rPr>
        <w:t xml:space="preserve"> after differencing the </w:t>
      </w:r>
      <w:r w:rsidR="00732CE8" w:rsidRPr="008E3BF7">
        <w:rPr>
          <w:rFonts w:ascii="Arial" w:hAnsi="Arial" w:cs="Arial"/>
          <w:sz w:val="20"/>
          <w:szCs w:val="20"/>
        </w:rPr>
        <w:t xml:space="preserve">data </w:t>
      </w:r>
      <w:r w:rsidR="00732CE8" w:rsidRPr="008E3BF7">
        <w:rPr>
          <w:rFonts w:ascii="Arial" w:hAnsi="Arial" w:cs="Arial"/>
          <w:i/>
          <w:iCs/>
          <w:sz w:val="20"/>
          <w:szCs w:val="20"/>
        </w:rPr>
        <w:t>d</w:t>
      </w:r>
      <w:r w:rsidRPr="008E3BF7">
        <w:rPr>
          <w:rFonts w:ascii="Arial" w:hAnsi="Arial" w:cs="Arial"/>
          <w:sz w:val="20"/>
          <w:szCs w:val="20"/>
        </w:rPr>
        <w:t xml:space="preserve"> times. The algorithm uses a stepwise search to traverse the model space.</w:t>
      </w:r>
    </w:p>
    <w:p w14:paraId="48BED44B" w14:textId="0339634D"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Four initial models are fitted:</w:t>
      </w:r>
    </w:p>
    <w:p w14:paraId="5BE32174" w14:textId="79F5539B" w:rsidR="00DC022F" w:rsidRPr="008E3BF7" w:rsidRDefault="00DC022F" w:rsidP="00237322">
      <w:pPr>
        <w:pStyle w:val="ListParagraph"/>
        <w:numPr>
          <w:ilvl w:val="0"/>
          <w:numId w:val="11"/>
        </w:numPr>
        <w:spacing w:after="0" w:line="240" w:lineRule="auto"/>
        <w:jc w:val="both"/>
        <w:rPr>
          <w:rFonts w:ascii="Arial" w:hAnsi="Arial" w:cs="Arial"/>
          <w:sz w:val="20"/>
          <w:szCs w:val="20"/>
        </w:rPr>
      </w:pPr>
      <w:r w:rsidRPr="008E3BF7">
        <w:rPr>
          <w:rFonts w:ascii="Arial" w:hAnsi="Arial" w:cs="Arial"/>
          <w:sz w:val="20"/>
          <w:szCs w:val="20"/>
        </w:rPr>
        <w:t>ARIMA (0,</w:t>
      </w:r>
      <w:r w:rsidR="00732CE8" w:rsidRPr="008E3BF7">
        <w:rPr>
          <w:rFonts w:ascii="Arial" w:hAnsi="Arial" w:cs="Arial"/>
          <w:sz w:val="20"/>
          <w:szCs w:val="20"/>
        </w:rPr>
        <w:t xml:space="preserve"> </w:t>
      </w:r>
      <w:r w:rsidRPr="008E3BF7">
        <w:rPr>
          <w:rFonts w:ascii="Arial" w:hAnsi="Arial" w:cs="Arial"/>
          <w:i/>
          <w:iCs/>
          <w:sz w:val="20"/>
          <w:szCs w:val="20"/>
        </w:rPr>
        <w:t>d</w:t>
      </w:r>
      <w:r w:rsidRPr="008E3BF7">
        <w:rPr>
          <w:rFonts w:ascii="Arial" w:hAnsi="Arial" w:cs="Arial"/>
          <w:sz w:val="20"/>
          <w:szCs w:val="20"/>
        </w:rPr>
        <w:t>,</w:t>
      </w:r>
      <w:r w:rsidR="00732CE8" w:rsidRPr="008E3BF7">
        <w:rPr>
          <w:rFonts w:ascii="Arial" w:hAnsi="Arial" w:cs="Arial"/>
          <w:sz w:val="20"/>
          <w:szCs w:val="20"/>
        </w:rPr>
        <w:t xml:space="preserve"> </w:t>
      </w:r>
      <w:r w:rsidRPr="008E3BF7">
        <w:rPr>
          <w:rFonts w:ascii="Arial" w:hAnsi="Arial" w:cs="Arial"/>
          <w:sz w:val="20"/>
          <w:szCs w:val="20"/>
        </w:rPr>
        <w:t>0),</w:t>
      </w:r>
    </w:p>
    <w:p w14:paraId="338741AC" w14:textId="23384272" w:rsidR="00DC022F" w:rsidRPr="008E3BF7" w:rsidRDefault="00DC022F" w:rsidP="00237322">
      <w:pPr>
        <w:pStyle w:val="ListParagraph"/>
        <w:numPr>
          <w:ilvl w:val="0"/>
          <w:numId w:val="11"/>
        </w:numPr>
        <w:spacing w:after="0" w:line="240" w:lineRule="auto"/>
        <w:jc w:val="both"/>
        <w:rPr>
          <w:rFonts w:ascii="Arial" w:hAnsi="Arial" w:cs="Arial"/>
          <w:sz w:val="20"/>
          <w:szCs w:val="20"/>
        </w:rPr>
      </w:pPr>
      <w:r w:rsidRPr="008E3BF7">
        <w:rPr>
          <w:rFonts w:ascii="Arial" w:hAnsi="Arial" w:cs="Arial"/>
          <w:sz w:val="20"/>
          <w:szCs w:val="20"/>
        </w:rPr>
        <w:t>ARIMA (2,</w:t>
      </w:r>
      <w:r w:rsidR="00732CE8" w:rsidRPr="008E3BF7">
        <w:rPr>
          <w:rFonts w:ascii="Arial" w:hAnsi="Arial" w:cs="Arial"/>
          <w:sz w:val="20"/>
          <w:szCs w:val="20"/>
        </w:rPr>
        <w:t xml:space="preserve"> </w:t>
      </w:r>
      <w:r w:rsidRPr="008E3BF7">
        <w:rPr>
          <w:rFonts w:ascii="Arial" w:hAnsi="Arial" w:cs="Arial"/>
          <w:i/>
          <w:iCs/>
          <w:sz w:val="20"/>
          <w:szCs w:val="20"/>
        </w:rPr>
        <w:t>d</w:t>
      </w:r>
      <w:r w:rsidRPr="008E3BF7">
        <w:rPr>
          <w:rFonts w:ascii="Arial" w:hAnsi="Arial" w:cs="Arial"/>
          <w:sz w:val="20"/>
          <w:szCs w:val="20"/>
        </w:rPr>
        <w:t>,</w:t>
      </w:r>
      <w:r w:rsidR="00732CE8" w:rsidRPr="008E3BF7">
        <w:rPr>
          <w:rFonts w:ascii="Arial" w:hAnsi="Arial" w:cs="Arial"/>
          <w:sz w:val="20"/>
          <w:szCs w:val="20"/>
        </w:rPr>
        <w:t xml:space="preserve"> </w:t>
      </w:r>
      <w:r w:rsidRPr="008E3BF7">
        <w:rPr>
          <w:rFonts w:ascii="Arial" w:hAnsi="Arial" w:cs="Arial"/>
          <w:sz w:val="20"/>
          <w:szCs w:val="20"/>
        </w:rPr>
        <w:t>2),</w:t>
      </w:r>
    </w:p>
    <w:p w14:paraId="66EF37DA" w14:textId="4FCA08A9" w:rsidR="00DC022F" w:rsidRPr="008E3BF7" w:rsidRDefault="00DC022F" w:rsidP="00237322">
      <w:pPr>
        <w:pStyle w:val="ListParagraph"/>
        <w:numPr>
          <w:ilvl w:val="0"/>
          <w:numId w:val="11"/>
        </w:numPr>
        <w:spacing w:after="0" w:line="240" w:lineRule="auto"/>
        <w:jc w:val="both"/>
        <w:rPr>
          <w:rFonts w:ascii="Arial" w:hAnsi="Arial" w:cs="Arial"/>
          <w:sz w:val="20"/>
          <w:szCs w:val="20"/>
        </w:rPr>
      </w:pPr>
      <w:r w:rsidRPr="008E3BF7">
        <w:rPr>
          <w:rFonts w:ascii="Arial" w:hAnsi="Arial" w:cs="Arial"/>
          <w:sz w:val="20"/>
          <w:szCs w:val="20"/>
        </w:rPr>
        <w:t>ARIMA (1,</w:t>
      </w:r>
      <w:r w:rsidR="00732CE8" w:rsidRPr="008E3BF7">
        <w:rPr>
          <w:rFonts w:ascii="Arial" w:hAnsi="Arial" w:cs="Arial"/>
          <w:sz w:val="20"/>
          <w:szCs w:val="20"/>
        </w:rPr>
        <w:t xml:space="preserve"> </w:t>
      </w:r>
      <w:r w:rsidRPr="008E3BF7">
        <w:rPr>
          <w:rFonts w:ascii="Arial" w:hAnsi="Arial" w:cs="Arial"/>
          <w:i/>
          <w:iCs/>
          <w:sz w:val="20"/>
          <w:szCs w:val="20"/>
        </w:rPr>
        <w:t>d</w:t>
      </w:r>
      <w:r w:rsidRPr="008E3BF7">
        <w:rPr>
          <w:rFonts w:ascii="Arial" w:hAnsi="Arial" w:cs="Arial"/>
          <w:sz w:val="20"/>
          <w:szCs w:val="20"/>
        </w:rPr>
        <w:t>,</w:t>
      </w:r>
      <w:r w:rsidR="00732CE8" w:rsidRPr="008E3BF7">
        <w:rPr>
          <w:rFonts w:ascii="Arial" w:hAnsi="Arial" w:cs="Arial"/>
          <w:sz w:val="20"/>
          <w:szCs w:val="20"/>
        </w:rPr>
        <w:t xml:space="preserve"> </w:t>
      </w:r>
      <w:r w:rsidRPr="008E3BF7">
        <w:rPr>
          <w:rFonts w:ascii="Arial" w:hAnsi="Arial" w:cs="Arial"/>
          <w:sz w:val="20"/>
          <w:szCs w:val="20"/>
        </w:rPr>
        <w:t>0),</w:t>
      </w:r>
    </w:p>
    <w:p w14:paraId="023E9445" w14:textId="6B01AFBF" w:rsidR="00DC022F" w:rsidRPr="008E3BF7" w:rsidRDefault="00DC022F" w:rsidP="00237322">
      <w:pPr>
        <w:pStyle w:val="ListParagraph"/>
        <w:numPr>
          <w:ilvl w:val="0"/>
          <w:numId w:val="11"/>
        </w:numPr>
        <w:spacing w:after="0" w:line="240" w:lineRule="auto"/>
        <w:jc w:val="both"/>
        <w:rPr>
          <w:rFonts w:ascii="Arial" w:hAnsi="Arial" w:cs="Arial"/>
          <w:sz w:val="20"/>
          <w:szCs w:val="20"/>
        </w:rPr>
      </w:pPr>
      <w:r w:rsidRPr="008E3BF7">
        <w:rPr>
          <w:rFonts w:ascii="Arial" w:hAnsi="Arial" w:cs="Arial"/>
          <w:sz w:val="20"/>
          <w:szCs w:val="20"/>
        </w:rPr>
        <w:t>ARIMA (0,</w:t>
      </w:r>
      <w:r w:rsidR="00732CE8" w:rsidRPr="008E3BF7">
        <w:rPr>
          <w:rFonts w:ascii="Arial" w:hAnsi="Arial" w:cs="Arial"/>
          <w:sz w:val="20"/>
          <w:szCs w:val="20"/>
        </w:rPr>
        <w:t xml:space="preserve"> </w:t>
      </w:r>
      <w:r w:rsidRPr="008E3BF7">
        <w:rPr>
          <w:rFonts w:ascii="Arial" w:hAnsi="Arial" w:cs="Arial"/>
          <w:i/>
          <w:iCs/>
          <w:sz w:val="20"/>
          <w:szCs w:val="20"/>
        </w:rPr>
        <w:t>d</w:t>
      </w:r>
      <w:r w:rsidRPr="008E3BF7">
        <w:rPr>
          <w:rFonts w:ascii="Arial" w:hAnsi="Arial" w:cs="Arial"/>
          <w:sz w:val="20"/>
          <w:szCs w:val="20"/>
        </w:rPr>
        <w:t>,</w:t>
      </w:r>
      <w:r w:rsidR="00732CE8" w:rsidRPr="008E3BF7">
        <w:rPr>
          <w:rFonts w:ascii="Arial" w:hAnsi="Arial" w:cs="Arial"/>
          <w:sz w:val="20"/>
          <w:szCs w:val="20"/>
        </w:rPr>
        <w:t xml:space="preserve"> </w:t>
      </w:r>
      <w:r w:rsidRPr="008E3BF7">
        <w:rPr>
          <w:rFonts w:ascii="Arial" w:hAnsi="Arial" w:cs="Arial"/>
          <w:sz w:val="20"/>
          <w:szCs w:val="20"/>
        </w:rPr>
        <w:t>1)</w:t>
      </w:r>
    </w:p>
    <w:p w14:paraId="35CAC806" w14:textId="0DDB4AC5"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 xml:space="preserve">A constant is included </w:t>
      </w:r>
      <w:r w:rsidR="006B275A" w:rsidRPr="008E3BF7">
        <w:rPr>
          <w:rFonts w:ascii="Arial" w:hAnsi="Arial" w:cs="Arial"/>
          <w:sz w:val="20"/>
          <w:szCs w:val="20"/>
        </w:rPr>
        <w:t xml:space="preserve">unless </w:t>
      </w:r>
      <w:r w:rsidR="006B275A" w:rsidRPr="008E3BF7">
        <w:rPr>
          <w:rFonts w:ascii="Arial" w:hAnsi="Arial" w:cs="Arial"/>
          <w:i/>
          <w:iCs/>
          <w:sz w:val="20"/>
          <w:szCs w:val="20"/>
        </w:rPr>
        <w:t>d</w:t>
      </w:r>
      <w:r w:rsidRPr="008E3BF7">
        <w:rPr>
          <w:rFonts w:ascii="Arial" w:hAnsi="Arial" w:cs="Arial"/>
          <w:sz w:val="20"/>
          <w:szCs w:val="20"/>
        </w:rPr>
        <w:t>=2</w:t>
      </w:r>
      <w:r w:rsidR="00A21499" w:rsidRPr="008E3BF7">
        <w:rPr>
          <w:rFonts w:ascii="Arial" w:hAnsi="Arial" w:cs="Arial"/>
          <w:sz w:val="20"/>
          <w:szCs w:val="20"/>
        </w:rPr>
        <w:t>.</w:t>
      </w:r>
    </w:p>
    <w:p w14:paraId="3F68676C" w14:textId="30CB99E2" w:rsidR="00DC022F" w:rsidRPr="008E3BF7" w:rsidRDefault="006B275A"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 xml:space="preserve">If </w:t>
      </w:r>
      <w:r w:rsidRPr="008E3BF7">
        <w:rPr>
          <w:rFonts w:ascii="Arial" w:hAnsi="Arial" w:cs="Arial"/>
          <w:i/>
          <w:iCs/>
          <w:sz w:val="20"/>
          <w:szCs w:val="20"/>
        </w:rPr>
        <w:t>d</w:t>
      </w:r>
      <w:r w:rsidR="00DC022F" w:rsidRPr="008E3BF7">
        <w:rPr>
          <w:rFonts w:ascii="Arial" w:hAnsi="Arial" w:cs="Arial"/>
          <w:sz w:val="20"/>
          <w:szCs w:val="20"/>
        </w:rPr>
        <w:t>≤1, an additional model is also fitted: ARIMA (</w:t>
      </w:r>
      <w:proofErr w:type="gramStart"/>
      <w:r w:rsidR="00DC022F" w:rsidRPr="008E3BF7">
        <w:rPr>
          <w:rFonts w:ascii="Arial" w:hAnsi="Arial" w:cs="Arial"/>
          <w:sz w:val="20"/>
          <w:szCs w:val="20"/>
        </w:rPr>
        <w:t>0,</w:t>
      </w:r>
      <w:r w:rsidR="00DC022F" w:rsidRPr="008E3BF7">
        <w:rPr>
          <w:rFonts w:ascii="Arial" w:hAnsi="Arial" w:cs="Arial"/>
          <w:i/>
          <w:iCs/>
          <w:sz w:val="20"/>
          <w:szCs w:val="20"/>
        </w:rPr>
        <w:t>d</w:t>
      </w:r>
      <w:proofErr w:type="gramEnd"/>
      <w:r w:rsidR="00DC022F" w:rsidRPr="008E3BF7">
        <w:rPr>
          <w:rFonts w:ascii="Arial" w:hAnsi="Arial" w:cs="Arial"/>
          <w:sz w:val="20"/>
          <w:szCs w:val="20"/>
        </w:rPr>
        <w:t>,0) without a constant.</w:t>
      </w:r>
    </w:p>
    <w:p w14:paraId="23547187" w14:textId="4171F09F"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t xml:space="preserve">The best model (with the smallest </w:t>
      </w:r>
      <w:proofErr w:type="spellStart"/>
      <w:r w:rsidRPr="008E3BF7">
        <w:rPr>
          <w:rFonts w:ascii="Arial" w:hAnsi="Arial" w:cs="Arial"/>
          <w:sz w:val="20"/>
          <w:szCs w:val="20"/>
        </w:rPr>
        <w:t>AICc</w:t>
      </w:r>
      <w:proofErr w:type="spellEnd"/>
      <w:r w:rsidRPr="008E3BF7">
        <w:rPr>
          <w:rFonts w:ascii="Arial" w:hAnsi="Arial" w:cs="Arial"/>
          <w:sz w:val="20"/>
          <w:szCs w:val="20"/>
        </w:rPr>
        <w:t xml:space="preserve"> </w:t>
      </w:r>
      <w:proofErr w:type="gramStart"/>
      <w:r w:rsidRPr="008E3BF7">
        <w:rPr>
          <w:rFonts w:ascii="Arial" w:hAnsi="Arial" w:cs="Arial"/>
          <w:sz w:val="20"/>
          <w:szCs w:val="20"/>
        </w:rPr>
        <w:t>value)  is</w:t>
      </w:r>
      <w:proofErr w:type="gramEnd"/>
      <w:r w:rsidRPr="008E3BF7">
        <w:rPr>
          <w:rFonts w:ascii="Arial" w:hAnsi="Arial" w:cs="Arial"/>
          <w:sz w:val="20"/>
          <w:szCs w:val="20"/>
        </w:rPr>
        <w:t xml:space="preserve"> set to be the “current model”.</w:t>
      </w:r>
    </w:p>
    <w:p w14:paraId="799412F8" w14:textId="4B28DDD3" w:rsidR="00DC022F" w:rsidRPr="008E3BF7" w:rsidRDefault="00DC022F" w:rsidP="00237322">
      <w:pPr>
        <w:pStyle w:val="ListParagraph"/>
        <w:numPr>
          <w:ilvl w:val="0"/>
          <w:numId w:val="10"/>
        </w:numPr>
        <w:spacing w:after="0" w:line="240" w:lineRule="auto"/>
        <w:jc w:val="both"/>
        <w:rPr>
          <w:rFonts w:ascii="Arial" w:hAnsi="Arial" w:cs="Arial"/>
          <w:sz w:val="20"/>
          <w:szCs w:val="20"/>
        </w:rPr>
      </w:pPr>
      <w:r w:rsidRPr="008E3BF7">
        <w:rPr>
          <w:rFonts w:ascii="Arial" w:hAnsi="Arial" w:cs="Arial"/>
          <w:sz w:val="20"/>
          <w:szCs w:val="20"/>
        </w:rPr>
        <w:lastRenderedPageBreak/>
        <w:t xml:space="preserve">Variations on the current model are considered by changing </w:t>
      </w:r>
      <w:r w:rsidRPr="008E3BF7">
        <w:rPr>
          <w:rFonts w:ascii="Arial" w:hAnsi="Arial" w:cs="Arial"/>
          <w:i/>
          <w:iCs/>
          <w:sz w:val="20"/>
          <w:szCs w:val="20"/>
        </w:rPr>
        <w:t>p</w:t>
      </w:r>
      <w:r w:rsidRPr="008E3BF7">
        <w:rPr>
          <w:rFonts w:ascii="Arial" w:hAnsi="Arial" w:cs="Arial"/>
          <w:sz w:val="20"/>
          <w:szCs w:val="20"/>
        </w:rPr>
        <w:t xml:space="preserve"> and/or </w:t>
      </w:r>
      <w:r w:rsidRPr="008E3BF7">
        <w:rPr>
          <w:rFonts w:ascii="Arial" w:hAnsi="Arial" w:cs="Arial"/>
          <w:i/>
          <w:iCs/>
          <w:sz w:val="20"/>
          <w:szCs w:val="20"/>
        </w:rPr>
        <w:t>q</w:t>
      </w:r>
      <w:r w:rsidRPr="008E3BF7">
        <w:rPr>
          <w:rFonts w:ascii="Arial" w:hAnsi="Arial" w:cs="Arial"/>
          <w:sz w:val="20"/>
          <w:szCs w:val="20"/>
        </w:rPr>
        <w:t xml:space="preserve">. The best model considered so far (either the current model or one of these variations) becomes the new current model. The process is repeated until no lower </w:t>
      </w:r>
      <w:proofErr w:type="spellStart"/>
      <w:r w:rsidRPr="008E3BF7">
        <w:rPr>
          <w:rFonts w:ascii="Arial" w:hAnsi="Arial" w:cs="Arial"/>
          <w:sz w:val="20"/>
          <w:szCs w:val="20"/>
        </w:rPr>
        <w:t>AICc</w:t>
      </w:r>
      <w:proofErr w:type="spellEnd"/>
      <w:r w:rsidRPr="008E3BF7">
        <w:rPr>
          <w:rFonts w:ascii="Arial" w:hAnsi="Arial" w:cs="Arial"/>
          <w:sz w:val="20"/>
          <w:szCs w:val="20"/>
        </w:rPr>
        <w:t xml:space="preserve"> can be found.</w:t>
      </w:r>
    </w:p>
    <w:p w14:paraId="40A8A682" w14:textId="77777777" w:rsidR="00DC022F" w:rsidRPr="008E3BF7" w:rsidRDefault="00DC022F" w:rsidP="00237322">
      <w:pPr>
        <w:spacing w:after="0" w:line="240" w:lineRule="auto"/>
        <w:jc w:val="both"/>
        <w:rPr>
          <w:rFonts w:ascii="Arial" w:hAnsi="Arial" w:cs="Arial"/>
          <w:sz w:val="20"/>
          <w:szCs w:val="20"/>
        </w:rPr>
      </w:pPr>
    </w:p>
    <w:p w14:paraId="6580FC88" w14:textId="1AEB48E3" w:rsidR="00DC022F" w:rsidRPr="008E3BF7" w:rsidRDefault="00DC022F" w:rsidP="00237322">
      <w:pPr>
        <w:spacing w:after="0" w:line="240" w:lineRule="auto"/>
        <w:jc w:val="both"/>
        <w:rPr>
          <w:rFonts w:ascii="Arial" w:hAnsi="Arial" w:cs="Arial"/>
          <w:b/>
          <w:bCs/>
          <w:sz w:val="20"/>
          <w:szCs w:val="20"/>
        </w:rPr>
      </w:pPr>
      <w:r w:rsidRPr="008E3BF7">
        <w:rPr>
          <w:rFonts w:ascii="Arial" w:hAnsi="Arial" w:cs="Arial"/>
          <w:b/>
          <w:bCs/>
          <w:sz w:val="20"/>
          <w:szCs w:val="20"/>
        </w:rPr>
        <w:t>State space models of exponential smoothing (ETS)</w:t>
      </w:r>
    </w:p>
    <w:p w14:paraId="113AE219" w14:textId="5FD628ED" w:rsidR="00DC022F" w:rsidRPr="008E3BF7" w:rsidRDefault="00DC022F"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The state space forecasting framework is an automated approach to selecting models from the exponential smoothing family. Each model from the so-called ETS (Error-Trend-Seasonality) family consists of a measurement equation that describes the observed data, and some state equations that describe how the unobserved components or states (level, trend, seasonal) change over time. The framework was proposed </w:t>
      </w:r>
      <w:r w:rsidR="00385D70" w:rsidRPr="008E3BF7">
        <w:rPr>
          <w:rFonts w:ascii="Arial" w:hAnsi="Arial" w:cs="Arial"/>
          <w:sz w:val="20"/>
          <w:szCs w:val="20"/>
        </w:rPr>
        <w:t>in Hyndman</w:t>
      </w:r>
      <w:r w:rsidRPr="008E3BF7">
        <w:rPr>
          <w:rFonts w:ascii="Arial" w:hAnsi="Arial" w:cs="Arial"/>
          <w:sz w:val="20"/>
          <w:szCs w:val="20"/>
        </w:rPr>
        <w:t xml:space="preserve"> et al.</w:t>
      </w:r>
      <w:r w:rsidR="00A41B22" w:rsidRPr="008E3BF7">
        <w:rPr>
          <w:rFonts w:ascii="Arial" w:hAnsi="Arial" w:cs="Arial"/>
          <w:sz w:val="20"/>
          <w:szCs w:val="20"/>
        </w:rPr>
        <w:t xml:space="preserve"> </w:t>
      </w:r>
      <w:r w:rsidR="00A41B22"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{"citationItems":[{"id":"ITEM-1","itemData":{"author":[{"dropping-particle":"","family":"Hyndman","given":"Rob J","non-dropping-particle":"","parse-names":false,"suffix":""},{"dropping-particle":"","family":"Koehler","given":"Anne B","non-dropping-particle":"","parse-names":false,"suffix":""},{"dropping-particle":"","family":"Snyder","given":"Ralph D","non-dropping-particle":"","parse-names":false,"suffix":""},{"dropping-particle":"","family":"Grose","given":"Simone","non-dropping-particle":"","parse-names":false,"suffix":""}],"container-title":"International Journal of forecasting","id":"ITEM-1","issue":"3","issued":{"date-parts":[["2002"]]},"page":"439-454","publisher":"Elsevier","title":"A state space framework for automatic forecasting using exponential smoothing methods","type":"article-journal","volume":"18"},"uris":["http://www.mendeley.com/documents/?uuid=0e04e066-1dfa-4f47-9d54-0214026bd2ed"]}],"mendeley":{"formattedCitation":"(Hyndman &lt;i&gt;et al.&lt;/i&gt;, 2002)","manualFormatting":"(2002)","plainTextFormattedCitation":"(Hyndman et al., 2002)","previouslyFormattedCitation":"(Hyndman et al., 2002)"},"properties":{"noteIndex":0},"schema":"https://github.com/citation-style-language/schema/raw/master/csl-citation.json"}</w:instrText>
      </w:r>
      <w:r w:rsidR="00A41B22" w:rsidRPr="008E3BF7">
        <w:rPr>
          <w:rFonts w:ascii="Arial" w:hAnsi="Arial" w:cs="Arial"/>
          <w:sz w:val="20"/>
          <w:szCs w:val="20"/>
        </w:rPr>
        <w:fldChar w:fldCharType="separate"/>
      </w:r>
      <w:r w:rsidR="00A41B22" w:rsidRPr="008E3BF7">
        <w:rPr>
          <w:rFonts w:ascii="Arial" w:hAnsi="Arial" w:cs="Arial"/>
          <w:noProof/>
          <w:sz w:val="20"/>
          <w:szCs w:val="20"/>
        </w:rPr>
        <w:t>(2002)</w:t>
      </w:r>
      <w:r w:rsidR="00A41B22" w:rsidRPr="008E3BF7">
        <w:rPr>
          <w:rFonts w:ascii="Arial" w:hAnsi="Arial" w:cs="Arial"/>
          <w:sz w:val="20"/>
          <w:szCs w:val="20"/>
        </w:rPr>
        <w:fldChar w:fldCharType="end"/>
      </w:r>
      <w:r w:rsidRPr="008E3BF7">
        <w:rPr>
          <w:rFonts w:ascii="Arial" w:hAnsi="Arial" w:cs="Arial"/>
          <w:sz w:val="20"/>
          <w:szCs w:val="20"/>
        </w:rPr>
        <w:t xml:space="preserve"> and later developed in Hyndman et al. </w:t>
      </w:r>
      <w:r w:rsidR="00A41B22"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{"citationItems":[{"id":"ITEM-1","itemData":{"author":[{"dropping-particle":"","family":"Hyndman","given":"Rob","non-dropping-particle":"","parse-names":false,"suffix":""},{"dropping-particle":"","family":"Koehler","given":"Anne B","non-dropping-particle":"","parse-names":false,"suffix":""},{"dropping-particle":"","family":"Ord","given":"J Keith","non-dropping-particle":"","parse-names":false,"suffix":""},{"dropping-particle":"","family":"Snyder","given":"Ralph D","non-dropping-particle":"","parse-names":false,"suffix":""}],"id":"ITEM-1","issued":{"date-parts":[["2008"]]},"publisher":"Springer Science &amp; Business Media","title":"Forecasting with exponential smoothing: the state space approach","type":"book"},"uris":["http://www.mendeley.com/documents/?uuid=37b8722d-a8b0-4404-8677-8ae555b2fea0"]}],"mendeley":{"formattedCitation":"(Hyndman &lt;i&gt;et al.&lt;/i&gt;, 2008)","manualFormatting":"(2008)","plainTextFormattedCitation":"(Hyndman et al., 2008)","previouslyFormattedCitation":"(Hyndman et al., 2008)"},"properties":{"noteIndex":0},"schema":"https://github.com/citation-style-language/schema/raw/master/csl-citation.json"}</w:instrText>
      </w:r>
      <w:r w:rsidR="00A41B22" w:rsidRPr="008E3BF7">
        <w:rPr>
          <w:rFonts w:ascii="Arial" w:hAnsi="Arial" w:cs="Arial"/>
          <w:sz w:val="20"/>
          <w:szCs w:val="20"/>
        </w:rPr>
        <w:fldChar w:fldCharType="separate"/>
      </w:r>
      <w:r w:rsidR="00A41B22" w:rsidRPr="008E3BF7">
        <w:rPr>
          <w:rFonts w:ascii="Arial" w:hAnsi="Arial" w:cs="Arial"/>
          <w:noProof/>
          <w:sz w:val="20"/>
          <w:szCs w:val="20"/>
        </w:rPr>
        <w:t>(2008)</w:t>
      </w:r>
      <w:r w:rsidR="00A41B22" w:rsidRPr="008E3BF7">
        <w:rPr>
          <w:rFonts w:ascii="Arial" w:hAnsi="Arial" w:cs="Arial"/>
          <w:sz w:val="20"/>
          <w:szCs w:val="20"/>
        </w:rPr>
        <w:fldChar w:fldCharType="end"/>
      </w:r>
      <w:r w:rsidRPr="008E3BF7">
        <w:rPr>
          <w:rFonts w:ascii="Arial" w:hAnsi="Arial" w:cs="Arial"/>
          <w:sz w:val="20"/>
          <w:szCs w:val="20"/>
        </w:rPr>
        <w:t>.</w:t>
      </w:r>
      <w:r w:rsidR="008F43D5" w:rsidRPr="008E3BF7">
        <w:rPr>
          <w:rFonts w:ascii="Arial" w:hAnsi="Arial" w:cs="Arial"/>
          <w:sz w:val="20"/>
          <w:szCs w:val="20"/>
        </w:rPr>
        <w:t xml:space="preserve"> </w:t>
      </w:r>
      <w:r w:rsidRPr="008E3BF7">
        <w:rPr>
          <w:rFonts w:ascii="Arial" w:hAnsi="Arial" w:cs="Arial"/>
          <w:sz w:val="20"/>
          <w:szCs w:val="20"/>
        </w:rPr>
        <w:t xml:space="preserve">Each state space model is referred to as </w:t>
      </w:r>
      <w:r w:rsidR="00A41B22" w:rsidRPr="008E3BF7">
        <w:rPr>
          <w:rFonts w:ascii="Arial" w:hAnsi="Arial" w:cs="Arial"/>
          <w:sz w:val="20"/>
          <w:szCs w:val="20"/>
        </w:rPr>
        <w:t>ETS</w:t>
      </w:r>
      <w:r w:rsidR="00A41B22" w:rsidRPr="008E3BF7">
        <w:rPr>
          <w:rFonts w:ascii="Arial" w:hAnsi="Arial" w:cs="Arial"/>
          <w:i/>
          <w:iCs/>
          <w:sz w:val="20"/>
          <w:szCs w:val="20"/>
        </w:rPr>
        <w:t xml:space="preserve"> </w:t>
      </w:r>
      <w:r w:rsidR="00A41B22" w:rsidRPr="008E3BF7">
        <w:rPr>
          <w:rFonts w:ascii="Arial" w:hAnsi="Arial" w:cs="Arial"/>
          <w:sz w:val="20"/>
          <w:szCs w:val="20"/>
        </w:rPr>
        <w:t>where</w:t>
      </w:r>
      <w:r w:rsidRPr="008E3BF7">
        <w:rPr>
          <w:rFonts w:ascii="Arial" w:hAnsi="Arial" w:cs="Arial"/>
          <w:sz w:val="20"/>
          <w:szCs w:val="20"/>
        </w:rPr>
        <w:t xml:space="preserve"> the possibilities for each component cover all traditional, as well as more intricate exponential smoothing models. The error component can be either additive or multiplicative (</w:t>
      </w:r>
      <w:r w:rsidRPr="008E3BF7">
        <w:rPr>
          <w:rFonts w:ascii="Arial" w:hAnsi="Arial" w:cs="Arial"/>
          <w:i/>
          <w:iCs/>
          <w:sz w:val="20"/>
          <w:szCs w:val="20"/>
        </w:rPr>
        <w:t>A</w:t>
      </w:r>
      <w:r w:rsidRPr="008E3BF7">
        <w:rPr>
          <w:rFonts w:ascii="Arial" w:hAnsi="Arial" w:cs="Arial"/>
          <w:sz w:val="20"/>
          <w:szCs w:val="20"/>
        </w:rPr>
        <w:t xml:space="preserve"> or </w:t>
      </w:r>
      <w:r w:rsidRPr="008E3BF7">
        <w:rPr>
          <w:rFonts w:ascii="Arial" w:hAnsi="Arial" w:cs="Arial"/>
          <w:i/>
          <w:iCs/>
          <w:sz w:val="20"/>
          <w:szCs w:val="20"/>
        </w:rPr>
        <w:t>M</w:t>
      </w:r>
      <w:r w:rsidRPr="008E3BF7">
        <w:rPr>
          <w:rFonts w:ascii="Arial" w:hAnsi="Arial" w:cs="Arial"/>
          <w:sz w:val="20"/>
          <w:szCs w:val="20"/>
        </w:rPr>
        <w:t>). The trend component can take 3 values (None (</w:t>
      </w:r>
      <w:r w:rsidRPr="008E3BF7">
        <w:rPr>
          <w:rFonts w:ascii="Arial" w:hAnsi="Arial" w:cs="Arial"/>
          <w:i/>
          <w:iCs/>
          <w:sz w:val="20"/>
          <w:szCs w:val="20"/>
        </w:rPr>
        <w:t>N</w:t>
      </w:r>
      <w:r w:rsidRPr="008E3BF7">
        <w:rPr>
          <w:rFonts w:ascii="Arial" w:hAnsi="Arial" w:cs="Arial"/>
          <w:sz w:val="20"/>
          <w:szCs w:val="20"/>
        </w:rPr>
        <w:t>), Additive (</w:t>
      </w:r>
      <w:r w:rsidRPr="008E3BF7">
        <w:rPr>
          <w:rFonts w:ascii="Arial" w:hAnsi="Arial" w:cs="Arial"/>
          <w:i/>
          <w:iCs/>
          <w:sz w:val="20"/>
          <w:szCs w:val="20"/>
        </w:rPr>
        <w:t>A</w:t>
      </w:r>
      <w:r w:rsidRPr="008E3BF7">
        <w:rPr>
          <w:rFonts w:ascii="Arial" w:hAnsi="Arial" w:cs="Arial"/>
          <w:sz w:val="20"/>
          <w:szCs w:val="20"/>
        </w:rPr>
        <w:t>), or damped additive (</w:t>
      </w:r>
      <w:r w:rsidRPr="008E3BF7">
        <w:rPr>
          <w:rFonts w:ascii="Arial" w:hAnsi="Arial" w:cs="Arial"/>
          <w:i/>
          <w:iCs/>
          <w:sz w:val="20"/>
          <w:szCs w:val="20"/>
        </w:rPr>
        <w:t>Ad</w:t>
      </w:r>
      <w:r w:rsidRPr="008E3BF7">
        <w:rPr>
          <w:rFonts w:ascii="Arial" w:hAnsi="Arial" w:cs="Arial"/>
          <w:sz w:val="20"/>
          <w:szCs w:val="20"/>
        </w:rPr>
        <w:t>)). The Seasonal component can take 3 values as well (None (N), Additive (A), or Multiplicative). For example, ETS(</w:t>
      </w:r>
      <w:r w:rsidRPr="008E3BF7">
        <w:rPr>
          <w:rFonts w:ascii="Arial" w:hAnsi="Arial" w:cs="Arial"/>
          <w:i/>
          <w:iCs/>
          <w:sz w:val="20"/>
          <w:szCs w:val="20"/>
        </w:rPr>
        <w:t>M</w:t>
      </w:r>
      <w:r w:rsidRPr="008E3BF7">
        <w:rPr>
          <w:rFonts w:ascii="Arial" w:hAnsi="Arial" w:cs="Arial"/>
          <w:sz w:val="20"/>
          <w:szCs w:val="20"/>
        </w:rPr>
        <w:t>,</w:t>
      </w:r>
      <w:r w:rsidRPr="008E3BF7">
        <w:rPr>
          <w:rFonts w:ascii="Arial" w:hAnsi="Arial" w:cs="Arial"/>
          <w:i/>
          <w:iCs/>
          <w:sz w:val="20"/>
          <w:szCs w:val="20"/>
        </w:rPr>
        <w:t>N</w:t>
      </w:r>
      <w:r w:rsidRPr="008E3BF7">
        <w:rPr>
          <w:rFonts w:ascii="Arial" w:hAnsi="Arial" w:cs="Arial"/>
          <w:sz w:val="20"/>
          <w:szCs w:val="20"/>
        </w:rPr>
        <w:t>,</w:t>
      </w:r>
      <w:r w:rsidRPr="008E3BF7">
        <w:rPr>
          <w:rFonts w:ascii="Arial" w:hAnsi="Arial" w:cs="Arial"/>
          <w:i/>
          <w:iCs/>
          <w:sz w:val="20"/>
          <w:szCs w:val="20"/>
        </w:rPr>
        <w:t>N</w:t>
      </w:r>
      <w:r w:rsidRPr="008E3BF7">
        <w:rPr>
          <w:rFonts w:ascii="Arial" w:hAnsi="Arial" w:cs="Arial"/>
          <w:sz w:val="20"/>
          <w:szCs w:val="20"/>
        </w:rPr>
        <w:t>) is simple exponential smoothing with multiplicative errors, ETS(</w:t>
      </w:r>
      <w:r w:rsidRPr="008E3BF7">
        <w:rPr>
          <w:rFonts w:ascii="Arial" w:hAnsi="Arial" w:cs="Arial"/>
          <w:i/>
          <w:iCs/>
          <w:sz w:val="20"/>
          <w:szCs w:val="20"/>
        </w:rPr>
        <w:t>A</w:t>
      </w:r>
      <w:r w:rsidRPr="008E3BF7">
        <w:rPr>
          <w:rFonts w:ascii="Arial" w:hAnsi="Arial" w:cs="Arial"/>
          <w:sz w:val="20"/>
          <w:szCs w:val="20"/>
        </w:rPr>
        <w:t>,</w:t>
      </w:r>
      <w:r w:rsidRPr="008E3BF7">
        <w:rPr>
          <w:rFonts w:ascii="Arial" w:hAnsi="Arial" w:cs="Arial"/>
          <w:i/>
          <w:iCs/>
          <w:sz w:val="20"/>
          <w:szCs w:val="20"/>
        </w:rPr>
        <w:t>A</w:t>
      </w:r>
      <w:r w:rsidRPr="008E3BF7">
        <w:rPr>
          <w:rFonts w:ascii="Arial" w:hAnsi="Arial" w:cs="Arial"/>
          <w:sz w:val="20"/>
          <w:szCs w:val="20"/>
        </w:rPr>
        <w:t>,</w:t>
      </w:r>
      <w:r w:rsidRPr="008E3BF7">
        <w:rPr>
          <w:rFonts w:ascii="Arial" w:hAnsi="Arial" w:cs="Arial"/>
          <w:i/>
          <w:iCs/>
          <w:sz w:val="20"/>
          <w:szCs w:val="20"/>
        </w:rPr>
        <w:t>N</w:t>
      </w:r>
      <w:r w:rsidRPr="008E3BF7">
        <w:rPr>
          <w:rFonts w:ascii="Arial" w:hAnsi="Arial" w:cs="Arial"/>
          <w:sz w:val="20"/>
          <w:szCs w:val="20"/>
        </w:rPr>
        <w:t>) is Holt’s linear method with additive errors, while ETS(</w:t>
      </w:r>
      <w:r w:rsidRPr="008E3BF7">
        <w:rPr>
          <w:rFonts w:ascii="Arial" w:hAnsi="Arial" w:cs="Arial"/>
          <w:i/>
          <w:iCs/>
          <w:sz w:val="20"/>
          <w:szCs w:val="20"/>
        </w:rPr>
        <w:t>M</w:t>
      </w:r>
      <w:r w:rsidRPr="008E3BF7">
        <w:rPr>
          <w:rFonts w:ascii="Arial" w:hAnsi="Arial" w:cs="Arial"/>
          <w:sz w:val="20"/>
          <w:szCs w:val="20"/>
        </w:rPr>
        <w:t>,</w:t>
      </w:r>
      <w:r w:rsidRPr="008E3BF7">
        <w:rPr>
          <w:rFonts w:ascii="Arial" w:hAnsi="Arial" w:cs="Arial"/>
          <w:i/>
          <w:iCs/>
          <w:sz w:val="20"/>
          <w:szCs w:val="20"/>
        </w:rPr>
        <w:t>A</w:t>
      </w:r>
      <w:r w:rsidRPr="008E3BF7">
        <w:rPr>
          <w:rFonts w:ascii="Arial" w:hAnsi="Arial" w:cs="Arial"/>
          <w:sz w:val="20"/>
          <w:szCs w:val="20"/>
        </w:rPr>
        <w:t>,</w:t>
      </w:r>
      <w:r w:rsidRPr="008E3BF7">
        <w:rPr>
          <w:rFonts w:ascii="Arial" w:hAnsi="Arial" w:cs="Arial"/>
          <w:i/>
          <w:iCs/>
          <w:sz w:val="20"/>
          <w:szCs w:val="20"/>
        </w:rPr>
        <w:t>N</w:t>
      </w:r>
      <w:r w:rsidRPr="008E3BF7">
        <w:rPr>
          <w:rFonts w:ascii="Arial" w:hAnsi="Arial" w:cs="Arial"/>
          <w:sz w:val="20"/>
          <w:szCs w:val="20"/>
        </w:rPr>
        <w:t>) is Holt’s linear method with multiplicative errors.</w:t>
      </w:r>
      <w:r w:rsidR="008F43D5" w:rsidRPr="008E3BF7">
        <w:rPr>
          <w:rFonts w:ascii="Arial" w:hAnsi="Arial" w:cs="Arial"/>
          <w:sz w:val="20"/>
          <w:szCs w:val="20"/>
        </w:rPr>
        <w:t xml:space="preserve"> </w:t>
      </w:r>
      <w:r w:rsidRPr="008E3BF7">
        <w:rPr>
          <w:rFonts w:ascii="Arial" w:hAnsi="Arial" w:cs="Arial"/>
          <w:sz w:val="20"/>
          <w:szCs w:val="20"/>
        </w:rPr>
        <w:t>As a result</w:t>
      </w:r>
      <w:r w:rsidR="00385D70" w:rsidRPr="008E3BF7">
        <w:rPr>
          <w:rFonts w:ascii="Arial" w:hAnsi="Arial" w:cs="Arial"/>
          <w:sz w:val="20"/>
          <w:szCs w:val="20"/>
        </w:rPr>
        <w:t>,</w:t>
      </w:r>
      <w:r w:rsidRPr="008E3BF7">
        <w:rPr>
          <w:rFonts w:ascii="Arial" w:hAnsi="Arial" w:cs="Arial"/>
          <w:sz w:val="20"/>
          <w:szCs w:val="20"/>
        </w:rPr>
        <w:t xml:space="preserve"> a total of 18 models are estimated within the ETS framework</w:t>
      </w:r>
      <w:r w:rsidR="001A79FB" w:rsidRPr="008E3BF7">
        <w:rPr>
          <w:rFonts w:ascii="Arial" w:hAnsi="Arial" w:cs="Arial"/>
          <w:sz w:val="20"/>
          <w:szCs w:val="20"/>
        </w:rPr>
        <w:t xml:space="preserve">, and the best one is selected based on </w:t>
      </w:r>
      <w:proofErr w:type="spellStart"/>
      <w:r w:rsidR="001A79FB" w:rsidRPr="008E3BF7">
        <w:rPr>
          <w:rFonts w:ascii="Arial" w:hAnsi="Arial" w:cs="Arial"/>
          <w:sz w:val="20"/>
          <w:szCs w:val="20"/>
        </w:rPr>
        <w:t>AICc</w:t>
      </w:r>
      <w:proofErr w:type="spellEnd"/>
      <w:r w:rsidRPr="008E3BF7">
        <w:rPr>
          <w:rFonts w:ascii="Arial" w:hAnsi="Arial" w:cs="Arial"/>
          <w:sz w:val="20"/>
          <w:szCs w:val="20"/>
        </w:rPr>
        <w:t xml:space="preserve">. The methodology is fully automatic. The only required argument for </w:t>
      </w:r>
      <w:r w:rsidR="00385D70" w:rsidRPr="008E3BF7">
        <w:rPr>
          <w:rFonts w:ascii="Arial" w:hAnsi="Arial" w:cs="Arial"/>
          <w:sz w:val="20"/>
          <w:szCs w:val="20"/>
        </w:rPr>
        <w:t>ETS</w:t>
      </w:r>
      <w:r w:rsidRPr="008E3BF7">
        <w:rPr>
          <w:rFonts w:ascii="Arial" w:hAnsi="Arial" w:cs="Arial"/>
          <w:sz w:val="20"/>
          <w:szCs w:val="20"/>
        </w:rPr>
        <w:t xml:space="preserve"> is the time series. This methodology performed extremely well on the M3-competition data </w:t>
      </w:r>
      <w:r w:rsidR="00A41B22"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{"citationItems":[{"id":"ITEM-1","itemData":{"author":[{"dropping-particle":"","family":"Hyndman","given":"Rob J","non-dropping-particle":"","parse-names":false,"suffix":""},{"dropping-particle":"","family":"Koehler","given":"Anne B","non-dropping-particle":"","parse-names":false,"suffix":""},{"dropping-particle":"","family":"Snyder","given":"Ralph D","non-dropping-particle":"","parse-names":false,"suffix":""},{"dropping-particle":"","family":"Grose","given":"Simone","non-dropping-particle":"","parse-names":false,"suffix":""}],"container-title":"International Journal of forecasting","id":"ITEM-1","issue":"3","issued":{"date-parts":[["2002"]]},"page":"439-454","publisher":"Elsevier","title":"A state space framework for automatic forecasting using exponential smoothing methods","type":"article-journal","volume":"18"},"uris":["http://www.mendeley.com/documents/?uuid=93505eea-52b2-46c5-b32e-80b40d25562b"]}],"mendeley":{"formattedCitation":"(Hyndman &lt;i&gt;et al.&lt;/i&gt;, 2002)","plainTextFormattedCitation":"(Hyndman et al., 2002)","previouslyFormattedCitation":"(Hyndman et al., 2002)"},"properties":{"noteIndex":0},"schema":"https://github.com/citation-style-language/schema/raw/master/csl-citation.json"}</w:instrText>
      </w:r>
      <w:r w:rsidR="00A41B22" w:rsidRPr="008E3BF7">
        <w:rPr>
          <w:rFonts w:ascii="Arial" w:hAnsi="Arial" w:cs="Arial"/>
          <w:sz w:val="20"/>
          <w:szCs w:val="20"/>
        </w:rPr>
        <w:fldChar w:fldCharType="separate"/>
      </w:r>
      <w:r w:rsidR="008E3BF7" w:rsidRPr="008E3BF7">
        <w:rPr>
          <w:rFonts w:ascii="Arial" w:hAnsi="Arial" w:cs="Arial"/>
          <w:noProof/>
          <w:sz w:val="20"/>
          <w:szCs w:val="20"/>
        </w:rPr>
        <w:t xml:space="preserve">(Hyndman </w:t>
      </w:r>
      <w:r w:rsidR="008E3BF7" w:rsidRPr="008E3BF7">
        <w:rPr>
          <w:rFonts w:ascii="Arial" w:hAnsi="Arial" w:cs="Arial"/>
          <w:i/>
          <w:noProof/>
          <w:sz w:val="20"/>
          <w:szCs w:val="20"/>
        </w:rPr>
        <w:t>et al.</w:t>
      </w:r>
      <w:r w:rsidR="008E3BF7" w:rsidRPr="008E3BF7">
        <w:rPr>
          <w:rFonts w:ascii="Arial" w:hAnsi="Arial" w:cs="Arial"/>
          <w:noProof/>
          <w:sz w:val="20"/>
          <w:szCs w:val="20"/>
        </w:rPr>
        <w:t>, 2002)</w:t>
      </w:r>
      <w:r w:rsidR="00A41B22" w:rsidRPr="008E3BF7">
        <w:rPr>
          <w:rFonts w:ascii="Arial" w:hAnsi="Arial" w:cs="Arial"/>
          <w:sz w:val="20"/>
          <w:szCs w:val="20"/>
        </w:rPr>
        <w:fldChar w:fldCharType="end"/>
      </w:r>
      <w:r w:rsidR="00A41B22" w:rsidRPr="008E3BF7">
        <w:rPr>
          <w:rFonts w:ascii="Arial" w:hAnsi="Arial" w:cs="Arial"/>
          <w:sz w:val="20"/>
          <w:szCs w:val="20"/>
        </w:rPr>
        <w:t>.</w:t>
      </w:r>
    </w:p>
    <w:p w14:paraId="1B008A16" w14:textId="77777777" w:rsidR="00DC022F" w:rsidRPr="008E3BF7" w:rsidRDefault="00DC022F" w:rsidP="00237322">
      <w:pPr>
        <w:spacing w:after="0" w:line="240" w:lineRule="auto"/>
        <w:jc w:val="both"/>
        <w:rPr>
          <w:rFonts w:ascii="Arial" w:hAnsi="Arial" w:cs="Arial"/>
          <w:sz w:val="20"/>
          <w:szCs w:val="20"/>
        </w:rPr>
      </w:pPr>
    </w:p>
    <w:p w14:paraId="7EBE3FE3" w14:textId="4F57F36C" w:rsidR="00DC022F" w:rsidRPr="008E3BF7" w:rsidRDefault="00DC022F" w:rsidP="00237322">
      <w:pPr>
        <w:spacing w:after="0" w:line="240" w:lineRule="auto"/>
        <w:jc w:val="both"/>
        <w:rPr>
          <w:rFonts w:ascii="Arial" w:hAnsi="Arial" w:cs="Arial"/>
          <w:b/>
          <w:bCs/>
          <w:sz w:val="20"/>
          <w:szCs w:val="20"/>
        </w:rPr>
      </w:pPr>
      <w:r w:rsidRPr="008E3BF7">
        <w:rPr>
          <w:rFonts w:ascii="Arial" w:hAnsi="Arial" w:cs="Arial"/>
          <w:b/>
          <w:bCs/>
          <w:sz w:val="20"/>
          <w:szCs w:val="20"/>
        </w:rPr>
        <w:t>Neural Network Autoregression (NNETAR)</w:t>
      </w:r>
    </w:p>
    <w:p w14:paraId="5DB8ECDA" w14:textId="70DC7272" w:rsidR="00DC022F" w:rsidRPr="008E3BF7" w:rsidRDefault="00DC022F"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A neural network can be thought of as a network of “neurons” which are </w:t>
      </w:r>
      <w:r w:rsidR="00923E79" w:rsidRPr="008E3BF7">
        <w:rPr>
          <w:rFonts w:ascii="Arial" w:hAnsi="Arial" w:cs="Arial"/>
          <w:sz w:val="20"/>
          <w:szCs w:val="20"/>
        </w:rPr>
        <w:t>organized</w:t>
      </w:r>
      <w:r w:rsidRPr="008E3BF7">
        <w:rPr>
          <w:rFonts w:ascii="Arial" w:hAnsi="Arial" w:cs="Arial"/>
          <w:sz w:val="20"/>
          <w:szCs w:val="20"/>
        </w:rPr>
        <w:t xml:space="preserve"> in layers. The predictors (or inputs) form the bottom layer, and the forecasts (or outputs) form the top layer, while the hidden layer contains a few neurons as well that make the model nonlinear. We use an automated procedure </w:t>
      </w:r>
      <w:r w:rsidR="00BD6A4B" w:rsidRPr="008E3BF7">
        <w:rPr>
          <w:rFonts w:ascii="Arial" w:hAnsi="Arial" w:cs="Arial"/>
          <w:i/>
          <w:iCs/>
          <w:sz w:val="20"/>
          <w:szCs w:val="20"/>
        </w:rPr>
        <w:t>NNETAR</w:t>
      </w:r>
      <w:r w:rsidRPr="008E3BF7">
        <w:rPr>
          <w:rFonts w:ascii="Arial" w:hAnsi="Arial" w:cs="Arial"/>
          <w:sz w:val="20"/>
          <w:szCs w:val="20"/>
        </w:rPr>
        <w:t xml:space="preserve"> which fits a feed-forward neural network</w:t>
      </w:r>
      <w:r w:rsidR="00BD6A4B" w:rsidRPr="008E3BF7">
        <w:rPr>
          <w:rFonts w:ascii="Arial" w:hAnsi="Arial" w:cs="Arial"/>
          <w:sz w:val="20"/>
          <w:szCs w:val="20"/>
        </w:rPr>
        <w:t xml:space="preserve"> </w:t>
      </w:r>
      <w:r w:rsidR="00BD6A4B"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Svozil","given":"Daniel","non-dropping-particle":"","parse-names":false,"suffix":""},{"dropping-particle":"","family":"Kvasnicka","given":"Vladimir","non-dropping-particle":"","parse-names":false,"suffix":""},{"dropping-particle":"","family":"Pospichal","given":"Jiri","non-dropping-particle":"","parse-names":false,"suffix":""}],"container-title":"Chemometrics and intelligent laboratory systems","id":"ITEM-1","issue":"1","issued":{"date-parts":[["1997"]]},"page":"43-62","publisher":"Elsevier","title":"Introduction to multi-layer feed-forward neural networks","type":"article-journal","volume":"39"},"uris":["http://www.mendeley.com/documents/?uuid=34154d09-6aaf-4b38-a562-99066762fdbf"]}],"mendeley":{"formattedCitation":"(Svozil, Kvasnicka and Pospichal, 1997)","plainTextFormattedCitation":"(Svozil, Kvasnicka and Pospichal, 1997)","previouslyFormattedCitation":"(Svozil et al., 1997)"},"properties":{"noteIndex":0},"schema":"https://github.com/citation-style-language/schema/raw/master/csl-citation.json"}</w:instrText>
      </w:r>
      <w:r w:rsidR="00BD6A4B" w:rsidRPr="008E3BF7">
        <w:rPr>
          <w:rFonts w:ascii="Arial" w:hAnsi="Arial" w:cs="Arial"/>
          <w:sz w:val="20"/>
          <w:szCs w:val="20"/>
        </w:rPr>
        <w:fldChar w:fldCharType="separate"/>
      </w:r>
      <w:r w:rsidR="008E3BF7" w:rsidRPr="008E3BF7">
        <w:rPr>
          <w:rFonts w:ascii="Arial" w:hAnsi="Arial" w:cs="Arial"/>
          <w:noProof/>
          <w:sz w:val="20"/>
          <w:szCs w:val="20"/>
        </w:rPr>
        <w:t>(Svozil, Kvasnicka and Pospichal, 1997)</w:t>
      </w:r>
      <w:r w:rsidR="00BD6A4B" w:rsidRPr="008E3BF7">
        <w:rPr>
          <w:rFonts w:ascii="Arial" w:hAnsi="Arial" w:cs="Arial"/>
          <w:sz w:val="20"/>
          <w:szCs w:val="20"/>
        </w:rPr>
        <w:fldChar w:fldCharType="end"/>
      </w:r>
      <w:r w:rsidRPr="008E3BF7">
        <w:rPr>
          <w:rFonts w:ascii="Arial" w:hAnsi="Arial" w:cs="Arial"/>
          <w:sz w:val="20"/>
          <w:szCs w:val="20"/>
        </w:rPr>
        <w:t xml:space="preserve"> with a single hidden layer and lagged inputs for forecasting univariate time series </w:t>
      </w:r>
      <w:r w:rsidR="00BD6A4B" w:rsidRPr="008E3BF7">
        <w:rPr>
          <w:rFonts w:ascii="Arial" w:hAnsi="Arial" w:cs="Arial"/>
          <w:sz w:val="20"/>
          <w:szCs w:val="20"/>
        </w:rPr>
        <w:fldChar w:fldCharType="begin" w:fldLock="1"/>
      </w:r>
      <w:r w:rsidR="00BD6A4B" w:rsidRPr="008E3BF7">
        <w:rPr>
          <w:rFonts w:ascii="Arial" w:hAnsi="Arial" w:cs="Arial"/>
          <w:sz w:val="20"/>
          <w:szCs w:val="20"/>
        </w:rPr>
        <w:instrText>ADDIN CSL_CITATION {"citationItems":[{"id":"ITEM-1","itemData":{"author":[{"dropping-particle":"","family":"Hyndman","given":"Rob J","non-dropping-particle":"","parse-names":false,"suffix":""},{"dropping-particle":"","family":"Athanasopoulos","given":"George","non-dropping-particle":"","parse-names":false,"suffix":""}],"id":"ITEM-1","issued":{"date-parts":[["2018"]]},"publisher":"OTexts","title":"Forecasting: principles and practice","type":"book"},"uris":["http://www.mendeley.com/documents/?uuid=938fd874-0e3b-46f7-aa81-197ccc538856"]}],"mendeley":{"formattedCitation":"(Hyndman and Athanasopoulos, 2018)","plainTextFormattedCitation":"(Hyndman and Athanasopoulos, 2018)","previouslyFormattedCitation":"(Hyndman and Athanasopoulos, 2018)"},"properties":{"noteIndex":0},"schema":"https://github.com/citation-style-language/schema/raw/master/csl-citation.json"}</w:instrText>
      </w:r>
      <w:r w:rsidR="00BD6A4B" w:rsidRPr="008E3BF7">
        <w:rPr>
          <w:rFonts w:ascii="Arial" w:hAnsi="Arial" w:cs="Arial"/>
          <w:sz w:val="20"/>
          <w:szCs w:val="20"/>
        </w:rPr>
        <w:fldChar w:fldCharType="separate"/>
      </w:r>
      <w:r w:rsidR="00BD6A4B" w:rsidRPr="008E3BF7">
        <w:rPr>
          <w:rFonts w:ascii="Arial" w:hAnsi="Arial" w:cs="Arial"/>
          <w:noProof/>
          <w:sz w:val="20"/>
          <w:szCs w:val="20"/>
        </w:rPr>
        <w:t>(Hyndman and Athanasopoulos, 2018)</w:t>
      </w:r>
      <w:r w:rsidR="00BD6A4B" w:rsidRPr="008E3BF7">
        <w:rPr>
          <w:rFonts w:ascii="Arial" w:hAnsi="Arial" w:cs="Arial"/>
          <w:sz w:val="20"/>
          <w:szCs w:val="20"/>
        </w:rPr>
        <w:fldChar w:fldCharType="end"/>
      </w:r>
      <w:r w:rsidR="00BD6A4B" w:rsidRPr="008E3BF7">
        <w:rPr>
          <w:rFonts w:ascii="Arial" w:hAnsi="Arial" w:cs="Arial"/>
          <w:sz w:val="20"/>
          <w:szCs w:val="20"/>
        </w:rPr>
        <w:t>.</w:t>
      </w:r>
      <w:r w:rsidRPr="008E3BF7">
        <w:rPr>
          <w:rFonts w:ascii="Arial" w:hAnsi="Arial" w:cs="Arial"/>
          <w:sz w:val="20"/>
          <w:szCs w:val="20"/>
        </w:rPr>
        <w:t xml:space="preserve"> The specification is NNAR(</w:t>
      </w:r>
      <w:proofErr w:type="spellStart"/>
      <w:r w:rsidRPr="008E3BF7">
        <w:rPr>
          <w:rFonts w:ascii="Arial" w:hAnsi="Arial" w:cs="Arial"/>
          <w:i/>
          <w:iCs/>
          <w:sz w:val="20"/>
          <w:szCs w:val="20"/>
        </w:rPr>
        <w:t>p</w:t>
      </w:r>
      <w:r w:rsidRPr="008E3BF7">
        <w:rPr>
          <w:rFonts w:ascii="Arial" w:hAnsi="Arial" w:cs="Arial"/>
          <w:sz w:val="20"/>
          <w:szCs w:val="20"/>
        </w:rPr>
        <w:t>,</w:t>
      </w:r>
      <w:r w:rsidRPr="008E3BF7">
        <w:rPr>
          <w:rFonts w:ascii="Arial" w:hAnsi="Arial" w:cs="Arial"/>
          <w:i/>
          <w:iCs/>
          <w:sz w:val="20"/>
          <w:szCs w:val="20"/>
        </w:rPr>
        <w:t>P</w:t>
      </w:r>
      <w:r w:rsidRPr="008E3BF7">
        <w:rPr>
          <w:rFonts w:ascii="Arial" w:hAnsi="Arial" w:cs="Arial"/>
          <w:sz w:val="20"/>
          <w:szCs w:val="20"/>
        </w:rPr>
        <w:t>,</w:t>
      </w:r>
      <w:r w:rsidRPr="008E3BF7">
        <w:rPr>
          <w:rFonts w:ascii="Arial" w:hAnsi="Arial" w:cs="Arial"/>
          <w:i/>
          <w:iCs/>
          <w:sz w:val="20"/>
          <w:szCs w:val="20"/>
        </w:rPr>
        <w:t>k</w:t>
      </w:r>
      <w:proofErr w:type="spellEnd"/>
      <w:r w:rsidRPr="008E3BF7">
        <w:rPr>
          <w:rFonts w:ascii="Arial" w:hAnsi="Arial" w:cs="Arial"/>
          <w:sz w:val="20"/>
          <w:szCs w:val="20"/>
        </w:rPr>
        <w:t>)</w:t>
      </w:r>
      <w:r w:rsidR="00385D70" w:rsidRPr="008E3BF7">
        <w:rPr>
          <w:rFonts w:ascii="Arial" w:hAnsi="Arial" w:cs="Arial"/>
          <w:i/>
          <w:iCs/>
          <w:sz w:val="20"/>
          <w:szCs w:val="20"/>
          <w:vertAlign w:val="subscript"/>
        </w:rPr>
        <w:t>m</w:t>
      </w:r>
      <w:r w:rsidR="00385D70" w:rsidRPr="008E3BF7">
        <w:rPr>
          <w:rFonts w:ascii="Arial" w:hAnsi="Arial" w:cs="Arial"/>
          <w:sz w:val="20"/>
          <w:szCs w:val="20"/>
        </w:rPr>
        <w:t xml:space="preserve"> </w:t>
      </w:r>
      <w:r w:rsidRPr="008E3BF7">
        <w:rPr>
          <w:rFonts w:ascii="Arial" w:hAnsi="Arial" w:cs="Arial"/>
          <w:sz w:val="20"/>
          <w:szCs w:val="20"/>
        </w:rPr>
        <w:t xml:space="preserve">, where </w:t>
      </w:r>
      <w:r w:rsidRPr="008E3BF7">
        <w:rPr>
          <w:rFonts w:ascii="Arial" w:hAnsi="Arial" w:cs="Arial"/>
          <w:i/>
          <w:iCs/>
          <w:sz w:val="20"/>
          <w:szCs w:val="20"/>
        </w:rPr>
        <w:t>p</w:t>
      </w:r>
      <w:r w:rsidRPr="008E3BF7">
        <w:rPr>
          <w:rFonts w:ascii="Arial" w:hAnsi="Arial" w:cs="Arial"/>
          <w:sz w:val="20"/>
          <w:szCs w:val="20"/>
        </w:rPr>
        <w:t xml:space="preserve"> is the order of autoregression, </w:t>
      </w:r>
      <w:r w:rsidRPr="008E3BF7">
        <w:rPr>
          <w:rFonts w:ascii="Arial" w:hAnsi="Arial" w:cs="Arial"/>
          <w:i/>
          <w:iCs/>
          <w:sz w:val="20"/>
          <w:szCs w:val="20"/>
        </w:rPr>
        <w:t>P</w:t>
      </w:r>
      <w:r w:rsidRPr="008E3BF7">
        <w:rPr>
          <w:rFonts w:ascii="Arial" w:hAnsi="Arial" w:cs="Arial"/>
          <w:sz w:val="20"/>
          <w:szCs w:val="20"/>
        </w:rPr>
        <w:t xml:space="preserve"> is the differencing parameters, </w:t>
      </w:r>
      <w:r w:rsidRPr="008E3BF7">
        <w:rPr>
          <w:rFonts w:ascii="Arial" w:hAnsi="Arial" w:cs="Arial"/>
          <w:i/>
          <w:iCs/>
          <w:sz w:val="20"/>
          <w:szCs w:val="20"/>
        </w:rPr>
        <w:t>m</w:t>
      </w:r>
      <w:r w:rsidRPr="008E3BF7">
        <w:rPr>
          <w:rFonts w:ascii="Arial" w:hAnsi="Arial" w:cs="Arial"/>
          <w:sz w:val="20"/>
          <w:szCs w:val="20"/>
        </w:rPr>
        <w:t xml:space="preserve"> specifies the periodicity (</w:t>
      </w:r>
      <w:r w:rsidRPr="008E3BF7">
        <w:rPr>
          <w:rFonts w:ascii="Arial" w:hAnsi="Arial" w:cs="Arial"/>
          <w:i/>
          <w:iCs/>
          <w:sz w:val="20"/>
          <w:szCs w:val="20"/>
        </w:rPr>
        <w:t>m</w:t>
      </w:r>
      <w:r w:rsidRPr="008E3BF7">
        <w:rPr>
          <w:rFonts w:ascii="Arial" w:hAnsi="Arial" w:cs="Arial"/>
          <w:sz w:val="20"/>
          <w:szCs w:val="20"/>
        </w:rPr>
        <w:t xml:space="preserve">=12 for monthly data), and </w:t>
      </w:r>
      <w:r w:rsidRPr="008E3BF7">
        <w:rPr>
          <w:rFonts w:ascii="Arial" w:hAnsi="Arial" w:cs="Arial"/>
          <w:i/>
          <w:iCs/>
          <w:sz w:val="20"/>
          <w:szCs w:val="20"/>
        </w:rPr>
        <w:t>k</w:t>
      </w:r>
      <w:r w:rsidRPr="008E3BF7">
        <w:rPr>
          <w:rFonts w:ascii="Arial" w:hAnsi="Arial" w:cs="Arial"/>
          <w:sz w:val="20"/>
          <w:szCs w:val="20"/>
        </w:rPr>
        <w:t xml:space="preserve"> is the number of neurons at the hidden layer. If the values of </w:t>
      </w:r>
      <w:r w:rsidRPr="008E3BF7">
        <w:rPr>
          <w:rFonts w:ascii="Arial" w:hAnsi="Arial" w:cs="Arial"/>
          <w:i/>
          <w:iCs/>
          <w:sz w:val="20"/>
          <w:szCs w:val="20"/>
        </w:rPr>
        <w:t>p</w:t>
      </w:r>
      <w:r w:rsidRPr="008E3BF7">
        <w:rPr>
          <w:rFonts w:ascii="Arial" w:hAnsi="Arial" w:cs="Arial"/>
          <w:sz w:val="20"/>
          <w:szCs w:val="20"/>
        </w:rPr>
        <w:t xml:space="preserve"> and </w:t>
      </w:r>
      <w:r w:rsidRPr="008E3BF7">
        <w:rPr>
          <w:rFonts w:ascii="Arial" w:hAnsi="Arial" w:cs="Arial"/>
          <w:i/>
          <w:iCs/>
          <w:sz w:val="20"/>
          <w:szCs w:val="20"/>
        </w:rPr>
        <w:t>P</w:t>
      </w:r>
      <w:r w:rsidRPr="008E3BF7">
        <w:rPr>
          <w:rFonts w:ascii="Arial" w:hAnsi="Arial" w:cs="Arial"/>
          <w:sz w:val="20"/>
          <w:szCs w:val="20"/>
        </w:rPr>
        <w:t xml:space="preserve"> are not specified, they are selected automatically. For non-seasonal time series, the default is the optimal number of lags (according to the AIC) for a linear AR(</w:t>
      </w:r>
      <w:r w:rsidRPr="008E3BF7">
        <w:rPr>
          <w:rFonts w:ascii="Arial" w:hAnsi="Arial" w:cs="Arial"/>
          <w:i/>
          <w:iCs/>
          <w:sz w:val="20"/>
          <w:szCs w:val="20"/>
        </w:rPr>
        <w:t>p</w:t>
      </w:r>
      <w:r w:rsidRPr="008E3BF7">
        <w:rPr>
          <w:rFonts w:ascii="Arial" w:hAnsi="Arial" w:cs="Arial"/>
          <w:sz w:val="20"/>
          <w:szCs w:val="20"/>
        </w:rPr>
        <w:t xml:space="preserve">) model. For seasonal time series, the default values are </w:t>
      </w:r>
      <w:r w:rsidRPr="008E3BF7">
        <w:rPr>
          <w:rFonts w:ascii="Arial" w:hAnsi="Arial" w:cs="Arial"/>
          <w:i/>
          <w:iCs/>
          <w:sz w:val="20"/>
          <w:szCs w:val="20"/>
        </w:rPr>
        <w:t>P</w:t>
      </w:r>
      <w:r w:rsidRPr="008E3BF7">
        <w:rPr>
          <w:rFonts w:ascii="Arial" w:hAnsi="Arial" w:cs="Arial"/>
          <w:sz w:val="20"/>
          <w:szCs w:val="20"/>
        </w:rPr>
        <w:t xml:space="preserve">=1 and </w:t>
      </w:r>
      <w:r w:rsidRPr="008E3BF7">
        <w:rPr>
          <w:rFonts w:ascii="Arial" w:hAnsi="Arial" w:cs="Arial"/>
          <w:i/>
          <w:iCs/>
          <w:sz w:val="20"/>
          <w:szCs w:val="20"/>
        </w:rPr>
        <w:t>p</w:t>
      </w:r>
      <w:r w:rsidRPr="008E3BF7">
        <w:rPr>
          <w:rFonts w:ascii="Arial" w:hAnsi="Arial" w:cs="Arial"/>
          <w:sz w:val="20"/>
          <w:szCs w:val="20"/>
        </w:rPr>
        <w:t xml:space="preserve"> </w:t>
      </w:r>
      <w:proofErr w:type="gramStart"/>
      <w:r w:rsidRPr="008E3BF7">
        <w:rPr>
          <w:rFonts w:ascii="Arial" w:hAnsi="Arial" w:cs="Arial"/>
          <w:sz w:val="20"/>
          <w:szCs w:val="20"/>
        </w:rPr>
        <w:t>is</w:t>
      </w:r>
      <w:proofErr w:type="gramEnd"/>
      <w:r w:rsidRPr="008E3BF7">
        <w:rPr>
          <w:rFonts w:ascii="Arial" w:hAnsi="Arial" w:cs="Arial"/>
          <w:sz w:val="20"/>
          <w:szCs w:val="20"/>
        </w:rPr>
        <w:t xml:space="preserve"> chosen from the optimal linear model fitted to the seasonally adjusted data. If </w:t>
      </w:r>
      <w:r w:rsidRPr="008E3BF7">
        <w:rPr>
          <w:rFonts w:ascii="Arial" w:hAnsi="Arial" w:cs="Arial"/>
          <w:i/>
          <w:iCs/>
          <w:sz w:val="20"/>
          <w:szCs w:val="20"/>
        </w:rPr>
        <w:t>k</w:t>
      </w:r>
      <w:r w:rsidRPr="008E3BF7">
        <w:rPr>
          <w:rFonts w:ascii="Arial" w:hAnsi="Arial" w:cs="Arial"/>
          <w:sz w:val="20"/>
          <w:szCs w:val="20"/>
        </w:rPr>
        <w:t xml:space="preserve"> is not specified, it is set </w:t>
      </w:r>
      <w:r w:rsidR="008F43D5" w:rsidRPr="008E3BF7">
        <w:rPr>
          <w:rFonts w:ascii="Arial" w:hAnsi="Arial" w:cs="Arial"/>
          <w:sz w:val="20"/>
          <w:szCs w:val="20"/>
        </w:rPr>
        <w:t xml:space="preserve">to </w:t>
      </w:r>
      <w:r w:rsidR="008F43D5" w:rsidRPr="008E3BF7">
        <w:rPr>
          <w:rFonts w:ascii="Arial" w:hAnsi="Arial" w:cs="Arial"/>
          <w:i/>
          <w:iCs/>
          <w:sz w:val="20"/>
          <w:szCs w:val="20"/>
        </w:rPr>
        <w:t>k</w:t>
      </w:r>
      <w:r w:rsidRPr="008E3BF7">
        <w:rPr>
          <w:rFonts w:ascii="Arial" w:hAnsi="Arial" w:cs="Arial"/>
          <w:sz w:val="20"/>
          <w:szCs w:val="20"/>
        </w:rPr>
        <w:t>=(</w:t>
      </w:r>
      <w:r w:rsidRPr="008E3BF7">
        <w:rPr>
          <w:rFonts w:ascii="Arial" w:hAnsi="Arial" w:cs="Arial"/>
          <w:i/>
          <w:iCs/>
          <w:sz w:val="20"/>
          <w:szCs w:val="20"/>
        </w:rPr>
        <w:t>p</w:t>
      </w:r>
      <w:r w:rsidRPr="008E3BF7">
        <w:rPr>
          <w:rFonts w:ascii="Arial" w:hAnsi="Arial" w:cs="Arial"/>
          <w:sz w:val="20"/>
          <w:szCs w:val="20"/>
        </w:rPr>
        <w:t>+</w:t>
      </w:r>
      <w:r w:rsidRPr="008E3BF7">
        <w:rPr>
          <w:rFonts w:ascii="Arial" w:hAnsi="Arial" w:cs="Arial"/>
          <w:i/>
          <w:iCs/>
          <w:sz w:val="20"/>
          <w:szCs w:val="20"/>
        </w:rPr>
        <w:t>P</w:t>
      </w:r>
      <w:r w:rsidRPr="008E3BF7">
        <w:rPr>
          <w:rFonts w:ascii="Arial" w:hAnsi="Arial" w:cs="Arial"/>
          <w:sz w:val="20"/>
          <w:szCs w:val="20"/>
        </w:rPr>
        <w:t>+1)/2 (rounded to the nearest integer).</w:t>
      </w:r>
      <w:r w:rsidR="008F43D5" w:rsidRPr="008E3BF7">
        <w:rPr>
          <w:rFonts w:ascii="Arial" w:hAnsi="Arial" w:cs="Arial"/>
          <w:sz w:val="20"/>
          <w:szCs w:val="20"/>
        </w:rPr>
        <w:t xml:space="preserve"> </w:t>
      </w:r>
      <w:r w:rsidRPr="008E3BF7">
        <w:rPr>
          <w:rFonts w:ascii="Arial" w:hAnsi="Arial" w:cs="Arial"/>
          <w:sz w:val="20"/>
          <w:szCs w:val="20"/>
        </w:rPr>
        <w:t>In the case of forecasting, the network is applied iteratively. For forecasting one step ahead, we simply use the available historical inputs. For forecasting two steps ahead, we use the one-step forecast as an input, along with the historical data. This process proceeds until we have computed all the required forecasts</w:t>
      </w:r>
      <w:r w:rsidR="00BD6A4B" w:rsidRPr="008E3BF7">
        <w:rPr>
          <w:rFonts w:ascii="Arial" w:hAnsi="Arial" w:cs="Arial"/>
          <w:sz w:val="20"/>
          <w:szCs w:val="20"/>
        </w:rPr>
        <w:t xml:space="preserve"> </w:t>
      </w:r>
      <w:r w:rsidR="00BD6A4B" w:rsidRPr="008E3BF7">
        <w:rPr>
          <w:rFonts w:ascii="Arial" w:hAnsi="Arial" w:cs="Arial"/>
          <w:sz w:val="20"/>
          <w:szCs w:val="20"/>
        </w:rPr>
        <w:fldChar w:fldCharType="begin" w:fldLock="1"/>
      </w:r>
      <w:r w:rsidR="00BD6A4B" w:rsidRPr="008E3BF7">
        <w:rPr>
          <w:rFonts w:ascii="Arial" w:hAnsi="Arial" w:cs="Arial"/>
          <w:sz w:val="20"/>
          <w:szCs w:val="20"/>
        </w:rPr>
        <w:instrText>ADDIN CSL_CITATION {"citationItems":[{"id":"ITEM-1","itemData":{"author":[{"dropping-particle":"","family":"Hyndman","given":"Rob J","non-dropping-particle":"","parse-names":false,"suffix":""},{"dropping-particle":"","family":"Athanasopoulos","given":"George","non-dropping-particle":"","parse-names":false,"suffix":""}],"id":"ITEM-1","issued":{"date-parts":[["2018"]]},"publisher":"OTexts","title":"Forecasting: principles and practice","type":"book"},"uris":["http://www.mendeley.com/documents/?uuid=938fd874-0e3b-46f7-aa81-197ccc538856"]}],"mendeley":{"formattedCitation":"(Hyndman and Athanasopoulos, 2018)","plainTextFormattedCitation":"(Hyndman and Athanasopoulos, 2018)","previouslyFormattedCitation":"(Hyndman and Athanasopoulos, 2018)"},"properties":{"noteIndex":0},"schema":"https://github.com/citation-style-language/schema/raw/master/csl-citation.json"}</w:instrText>
      </w:r>
      <w:r w:rsidR="00BD6A4B" w:rsidRPr="008E3BF7">
        <w:rPr>
          <w:rFonts w:ascii="Arial" w:hAnsi="Arial" w:cs="Arial"/>
          <w:sz w:val="20"/>
          <w:szCs w:val="20"/>
        </w:rPr>
        <w:fldChar w:fldCharType="separate"/>
      </w:r>
      <w:r w:rsidR="00BD6A4B" w:rsidRPr="008E3BF7">
        <w:rPr>
          <w:rFonts w:ascii="Arial" w:hAnsi="Arial" w:cs="Arial"/>
          <w:noProof/>
          <w:sz w:val="20"/>
          <w:szCs w:val="20"/>
        </w:rPr>
        <w:t>(Hyndman and Athanasopoulos, 2018)</w:t>
      </w:r>
      <w:r w:rsidR="00BD6A4B" w:rsidRPr="008E3BF7">
        <w:rPr>
          <w:rFonts w:ascii="Arial" w:hAnsi="Arial" w:cs="Arial"/>
          <w:sz w:val="20"/>
          <w:szCs w:val="20"/>
        </w:rPr>
        <w:fldChar w:fldCharType="end"/>
      </w:r>
      <w:r w:rsidRPr="008E3BF7">
        <w:rPr>
          <w:rFonts w:ascii="Arial" w:hAnsi="Arial" w:cs="Arial"/>
          <w:sz w:val="20"/>
          <w:szCs w:val="20"/>
        </w:rPr>
        <w:t>.</w:t>
      </w:r>
    </w:p>
    <w:p w14:paraId="1A635F75" w14:textId="77777777" w:rsidR="00DC022F" w:rsidRPr="008E3BF7" w:rsidRDefault="00DC022F" w:rsidP="00237322">
      <w:pPr>
        <w:spacing w:after="0" w:line="240" w:lineRule="auto"/>
        <w:jc w:val="both"/>
        <w:rPr>
          <w:rFonts w:ascii="Arial" w:hAnsi="Arial" w:cs="Arial"/>
          <w:sz w:val="20"/>
          <w:szCs w:val="20"/>
        </w:rPr>
      </w:pPr>
    </w:p>
    <w:p w14:paraId="7151D36F" w14:textId="7E2B2495" w:rsidR="00DC022F" w:rsidRPr="008E3BF7" w:rsidRDefault="00DC022F" w:rsidP="00237322">
      <w:pPr>
        <w:spacing w:after="0" w:line="240" w:lineRule="auto"/>
        <w:jc w:val="both"/>
        <w:rPr>
          <w:rFonts w:ascii="Arial" w:hAnsi="Arial" w:cs="Arial"/>
          <w:b/>
          <w:bCs/>
          <w:sz w:val="20"/>
          <w:szCs w:val="20"/>
        </w:rPr>
      </w:pPr>
      <w:r w:rsidRPr="008E3BF7">
        <w:rPr>
          <w:rFonts w:ascii="Arial" w:hAnsi="Arial" w:cs="Arial"/>
          <w:b/>
          <w:bCs/>
          <w:sz w:val="20"/>
          <w:szCs w:val="20"/>
        </w:rPr>
        <w:lastRenderedPageBreak/>
        <w:t>Prophet</w:t>
      </w:r>
    </w:p>
    <w:p w14:paraId="5B9FFB96" w14:textId="50E17483" w:rsidR="00022BC1" w:rsidRPr="008E3BF7" w:rsidRDefault="00107087"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The </w:t>
      </w:r>
      <w:r w:rsidR="00DC022F" w:rsidRPr="008E3BF7">
        <w:rPr>
          <w:rFonts w:ascii="Arial" w:hAnsi="Arial" w:cs="Arial"/>
          <w:sz w:val="20"/>
          <w:szCs w:val="20"/>
        </w:rPr>
        <w:t xml:space="preserve">Prophet </w:t>
      </w:r>
      <w:r w:rsidR="00561370" w:rsidRPr="008E3BF7">
        <w:rPr>
          <w:rFonts w:ascii="Arial" w:hAnsi="Arial" w:cs="Arial"/>
          <w:sz w:val="20"/>
          <w:szCs w:val="20"/>
        </w:rPr>
        <w:t>procedure</w:t>
      </w:r>
      <w:r w:rsidR="00DC022F" w:rsidRPr="008E3BF7">
        <w:rPr>
          <w:rFonts w:ascii="Arial" w:hAnsi="Arial" w:cs="Arial"/>
          <w:sz w:val="20"/>
          <w:szCs w:val="20"/>
        </w:rPr>
        <w:t xml:space="preserve"> was developed by Taylor and </w:t>
      </w:r>
      <w:proofErr w:type="spellStart"/>
      <w:r w:rsidR="00DC022F" w:rsidRPr="008E3BF7">
        <w:rPr>
          <w:rFonts w:ascii="Arial" w:hAnsi="Arial" w:cs="Arial"/>
          <w:sz w:val="20"/>
          <w:szCs w:val="20"/>
        </w:rPr>
        <w:t>Letham</w:t>
      </w:r>
      <w:proofErr w:type="spellEnd"/>
      <w:r w:rsidR="00BD6A4B" w:rsidRPr="008E3BF7">
        <w:rPr>
          <w:rFonts w:ascii="Arial" w:hAnsi="Arial" w:cs="Arial"/>
          <w:sz w:val="20"/>
          <w:szCs w:val="20"/>
        </w:rPr>
        <w:t xml:space="preserve"> </w:t>
      </w:r>
      <w:r w:rsidR="00BD6A4B" w:rsidRPr="008E3BF7">
        <w:rPr>
          <w:rFonts w:ascii="Arial" w:hAnsi="Arial" w:cs="Arial"/>
          <w:sz w:val="20"/>
          <w:szCs w:val="20"/>
        </w:rPr>
        <w:fldChar w:fldCharType="begin" w:fldLock="1"/>
      </w:r>
      <w:r w:rsidR="00BD6A4B" w:rsidRPr="008E3BF7">
        <w:rPr>
          <w:rFonts w:ascii="Arial" w:hAnsi="Arial" w:cs="Arial"/>
          <w:sz w:val="20"/>
          <w:szCs w:val="20"/>
        </w:rPr>
        <w:instrText>ADDIN CSL_CITATION {"citationItems":[{"id":"ITEM-1","itemData":{"author":[{"dropping-particle":"","family":"Taylor","given":"Sean J","non-dropping-particle":"","parse-names":false,"suffix":""},{"dropping-particle":"","family":"Letham","given":"Benjamin","non-dropping-particle":"","parse-names":false,"suffix":""}],"container-title":"The American Statistician","id":"ITEM-1","issue":"1","issued":{"date-parts":[["2018"]]},"page":"37-45","publisher":"Taylor &amp; Francis","title":"Forecasting at scale","type":"article-journal","volume":"72"},"uris":["http://www.mendeley.com/documents/?uuid=3f82f40c-b33d-49b4-9ae0-18473fa8c463"]}],"mendeley":{"formattedCitation":"(Taylor and Letham, 2018)","manualFormatting":"(2018)","plainTextFormattedCitation":"(Taylor and Letham, 2018)","previouslyFormattedCitation":"(Taylor and Letham, 2018)"},"properties":{"noteIndex":0},"schema":"https://github.com/citation-style-language/schema/raw/master/csl-citation.json"}</w:instrText>
      </w:r>
      <w:r w:rsidR="00BD6A4B" w:rsidRPr="008E3BF7">
        <w:rPr>
          <w:rFonts w:ascii="Arial" w:hAnsi="Arial" w:cs="Arial"/>
          <w:sz w:val="20"/>
          <w:szCs w:val="20"/>
        </w:rPr>
        <w:fldChar w:fldCharType="separate"/>
      </w:r>
      <w:r w:rsidR="00BD6A4B" w:rsidRPr="008E3BF7">
        <w:rPr>
          <w:rFonts w:ascii="Arial" w:hAnsi="Arial" w:cs="Arial"/>
          <w:noProof/>
          <w:sz w:val="20"/>
          <w:szCs w:val="20"/>
        </w:rPr>
        <w:t>(2018)</w:t>
      </w:r>
      <w:r w:rsidR="00BD6A4B" w:rsidRPr="008E3BF7">
        <w:rPr>
          <w:rFonts w:ascii="Arial" w:hAnsi="Arial" w:cs="Arial"/>
          <w:sz w:val="20"/>
          <w:szCs w:val="20"/>
        </w:rPr>
        <w:fldChar w:fldCharType="end"/>
      </w:r>
      <w:r w:rsidR="00DC022F" w:rsidRPr="008E3BF7">
        <w:rPr>
          <w:rFonts w:ascii="Arial" w:hAnsi="Arial" w:cs="Arial"/>
          <w:sz w:val="20"/>
          <w:szCs w:val="20"/>
        </w:rPr>
        <w:t xml:space="preserve"> originally as a forecasting procedure for business forecasting at Facebook. It is a procedure for forecasting time series data based on an additive model </w:t>
      </w:r>
      <w:r w:rsidR="00561370" w:rsidRPr="008E3BF7">
        <w:rPr>
          <w:rFonts w:ascii="Arial" w:hAnsi="Arial" w:cs="Arial"/>
          <w:sz w:val="20"/>
          <w:szCs w:val="20"/>
        </w:rPr>
        <w:t xml:space="preserve">flexibly accounting for even </w:t>
      </w:r>
      <w:r w:rsidR="00DC022F" w:rsidRPr="008E3BF7">
        <w:rPr>
          <w:rFonts w:ascii="Arial" w:hAnsi="Arial" w:cs="Arial"/>
          <w:sz w:val="20"/>
          <w:szCs w:val="20"/>
        </w:rPr>
        <w:t xml:space="preserve">non-linear trends </w:t>
      </w:r>
      <w:r w:rsidR="00561370" w:rsidRPr="008E3BF7">
        <w:rPr>
          <w:rFonts w:ascii="Arial" w:hAnsi="Arial" w:cs="Arial"/>
          <w:sz w:val="20"/>
          <w:szCs w:val="20"/>
        </w:rPr>
        <w:t>and</w:t>
      </w:r>
      <w:r w:rsidR="00DC022F" w:rsidRPr="008E3BF7">
        <w:rPr>
          <w:rFonts w:ascii="Arial" w:hAnsi="Arial" w:cs="Arial"/>
          <w:sz w:val="20"/>
          <w:szCs w:val="20"/>
        </w:rPr>
        <w:t xml:space="preserve"> any type of seasonality and holiday effects (relevant for daily data). It works best with time series that have strong seasonal effects and several seasons of historical data. Prophet is robust to missing data and shifts in the trend, and typically handles outliers well. What differentiates it from the exponential smoothing ETS models and other decomposable models is a different approach to modeling each </w:t>
      </w:r>
      <w:r w:rsidR="00877686" w:rsidRPr="008E3BF7">
        <w:rPr>
          <w:rFonts w:ascii="Arial" w:hAnsi="Arial" w:cs="Arial"/>
          <w:sz w:val="20"/>
          <w:szCs w:val="20"/>
        </w:rPr>
        <w:t>component</w:t>
      </w:r>
      <w:r w:rsidR="00DC022F" w:rsidRPr="008E3BF7">
        <w:rPr>
          <w:rFonts w:ascii="Arial" w:hAnsi="Arial" w:cs="Arial"/>
          <w:sz w:val="20"/>
          <w:szCs w:val="20"/>
        </w:rPr>
        <w:t xml:space="preserve">. Some of the key features are that the </w:t>
      </w:r>
      <w:r w:rsidR="00561370" w:rsidRPr="008E3BF7">
        <w:rPr>
          <w:rFonts w:ascii="Arial" w:hAnsi="Arial" w:cs="Arial"/>
          <w:sz w:val="20"/>
          <w:szCs w:val="20"/>
        </w:rPr>
        <w:t xml:space="preserve">underlying </w:t>
      </w:r>
      <w:r w:rsidR="00DC022F" w:rsidRPr="008E3BF7">
        <w:rPr>
          <w:rFonts w:ascii="Arial" w:hAnsi="Arial" w:cs="Arial"/>
          <w:sz w:val="20"/>
          <w:szCs w:val="20"/>
        </w:rPr>
        <w:t>algorithms rel</w:t>
      </w:r>
      <w:r w:rsidR="00561370" w:rsidRPr="008E3BF7">
        <w:rPr>
          <w:rFonts w:ascii="Arial" w:hAnsi="Arial" w:cs="Arial"/>
          <w:sz w:val="20"/>
          <w:szCs w:val="20"/>
        </w:rPr>
        <w:t>y</w:t>
      </w:r>
      <w:r w:rsidR="00DC022F" w:rsidRPr="008E3BF7">
        <w:rPr>
          <w:rFonts w:ascii="Arial" w:hAnsi="Arial" w:cs="Arial"/>
          <w:sz w:val="20"/>
          <w:szCs w:val="20"/>
        </w:rPr>
        <w:t xml:space="preserve"> on Fourier series to provide a flexible model of periodic effects </w:t>
      </w:r>
      <w:r w:rsidR="00BD6A4B" w:rsidRPr="008E3BF7">
        <w:rPr>
          <w:rFonts w:ascii="Arial" w:hAnsi="Arial" w:cs="Arial"/>
          <w:sz w:val="20"/>
          <w:szCs w:val="20"/>
        </w:rPr>
        <w:fldChar w:fldCharType="begin" w:fldLock="1"/>
      </w:r>
      <w:r w:rsidR="009C1091" w:rsidRPr="008E3BF7">
        <w:rPr>
          <w:rFonts w:ascii="Arial" w:hAnsi="Arial" w:cs="Arial"/>
          <w:sz w:val="20"/>
          <w:szCs w:val="20"/>
        </w:rPr>
        <w:instrText>ADDIN CSL_CITATION {"citationItems":[{"id":"ITEM-1","itemData":{"author":[{"dropping-particle":"","family":"Harvey","given":"Andrew C","non-dropping-particle":"","parse-names":false,"suffix":""},{"dropping-particle":"","family":"Shephard","given":"Neil","non-dropping-particle":"","parse-names":false,"suffix":""}],"id":"ITEM-1","issued":{"date-parts":[["1993"]]},"publisher":"Elsevier","title":"10 structural time series models","type":"article-journal"},"uris":["http://www.mendeley.com/documents/?uuid=5e0c227e-c560-4e9a-9d85-7e5d3fb69d4c"]}],"mendeley":{"formattedCitation":"(Harvey and Shephard, 1993)","plainTextFormattedCitation":"(Harvey and Shephard, 1993)","previouslyFormattedCitation":"(Harvey and Shephard, 1993)"},"properties":{"noteIndex":0},"schema":"https://github.com/citation-style-language/schema/raw/master/csl-citation.json"}</w:instrText>
      </w:r>
      <w:r w:rsidR="00BD6A4B" w:rsidRPr="008E3BF7">
        <w:rPr>
          <w:rFonts w:ascii="Arial" w:hAnsi="Arial" w:cs="Arial"/>
          <w:sz w:val="20"/>
          <w:szCs w:val="20"/>
        </w:rPr>
        <w:fldChar w:fldCharType="separate"/>
      </w:r>
      <w:r w:rsidR="00BD6A4B" w:rsidRPr="008E3BF7">
        <w:rPr>
          <w:rFonts w:ascii="Arial" w:hAnsi="Arial" w:cs="Arial"/>
          <w:noProof/>
          <w:sz w:val="20"/>
          <w:szCs w:val="20"/>
        </w:rPr>
        <w:t>(Harvey and Shephard, 1993)</w:t>
      </w:r>
      <w:r w:rsidR="00BD6A4B" w:rsidRPr="008E3BF7">
        <w:rPr>
          <w:rFonts w:ascii="Arial" w:hAnsi="Arial" w:cs="Arial"/>
          <w:sz w:val="20"/>
          <w:szCs w:val="20"/>
        </w:rPr>
        <w:fldChar w:fldCharType="end"/>
      </w:r>
      <w:r w:rsidR="00DC022F" w:rsidRPr="008E3BF7">
        <w:rPr>
          <w:rFonts w:ascii="Arial" w:hAnsi="Arial" w:cs="Arial"/>
          <w:sz w:val="20"/>
          <w:szCs w:val="20"/>
        </w:rPr>
        <w:t>, and on a piece-wise constant rate of growth model of the trend component.</w:t>
      </w:r>
      <w:r w:rsidR="008F43D5" w:rsidRPr="008E3BF7">
        <w:rPr>
          <w:rFonts w:ascii="Arial" w:hAnsi="Arial" w:cs="Arial"/>
          <w:sz w:val="20"/>
          <w:szCs w:val="20"/>
        </w:rPr>
        <w:t xml:space="preserve"> While both additive and multiplicative seasonality modes are allowed, the multiplicative mode was chosen as the </w:t>
      </w:r>
      <w:r w:rsidR="00923E79" w:rsidRPr="008E3BF7">
        <w:rPr>
          <w:rFonts w:ascii="Arial" w:hAnsi="Arial" w:cs="Arial"/>
          <w:sz w:val="20"/>
          <w:szCs w:val="20"/>
        </w:rPr>
        <w:t xml:space="preserve">more </w:t>
      </w:r>
      <w:r w:rsidR="008F43D5" w:rsidRPr="008E3BF7">
        <w:rPr>
          <w:rFonts w:ascii="Arial" w:hAnsi="Arial" w:cs="Arial"/>
          <w:sz w:val="20"/>
          <w:szCs w:val="20"/>
        </w:rPr>
        <w:t xml:space="preserve">adequately describing demand for </w:t>
      </w:r>
      <w:r w:rsidR="00923E79" w:rsidRPr="008E3BF7">
        <w:rPr>
          <w:rFonts w:ascii="Arial" w:hAnsi="Arial" w:cs="Arial"/>
          <w:sz w:val="20"/>
          <w:szCs w:val="20"/>
        </w:rPr>
        <w:t xml:space="preserve">accommodation in most European countries in recent years. </w:t>
      </w:r>
    </w:p>
    <w:p w14:paraId="0C3DE714" w14:textId="77777777" w:rsidR="00DC022F" w:rsidRPr="008E3BF7" w:rsidRDefault="00DC022F" w:rsidP="00237322">
      <w:pPr>
        <w:spacing w:after="0" w:line="240" w:lineRule="auto"/>
        <w:jc w:val="both"/>
        <w:rPr>
          <w:rFonts w:ascii="Arial" w:hAnsi="Arial" w:cs="Arial"/>
          <w:sz w:val="20"/>
          <w:szCs w:val="20"/>
        </w:rPr>
      </w:pPr>
    </w:p>
    <w:p w14:paraId="5EFE46C4" w14:textId="53494F51" w:rsidR="00C86EF5" w:rsidRPr="008E3BF7" w:rsidRDefault="00C86EF5" w:rsidP="00237322">
      <w:pPr>
        <w:pStyle w:val="ListParagraph"/>
        <w:numPr>
          <w:ilvl w:val="1"/>
          <w:numId w:val="14"/>
        </w:numPr>
        <w:spacing w:after="0" w:line="240" w:lineRule="auto"/>
        <w:jc w:val="both"/>
        <w:rPr>
          <w:rFonts w:ascii="Arial" w:hAnsi="Arial" w:cs="Arial"/>
          <w:b/>
          <w:bCs/>
        </w:rPr>
      </w:pPr>
      <w:r w:rsidRPr="008E3BF7">
        <w:rPr>
          <w:rFonts w:ascii="Arial" w:hAnsi="Arial" w:cs="Arial"/>
          <w:b/>
          <w:bCs/>
        </w:rPr>
        <w:t xml:space="preserve"> Evaluation and meta-analysis of the COVID-19 effect</w:t>
      </w:r>
    </w:p>
    <w:p w14:paraId="69460227" w14:textId="46FBCC78" w:rsidR="00935C66" w:rsidRPr="008E3BF7" w:rsidRDefault="00C86EF5" w:rsidP="00237322">
      <w:pPr>
        <w:spacing w:after="0" w:line="240" w:lineRule="auto"/>
        <w:ind w:firstLine="720"/>
        <w:jc w:val="both"/>
        <w:rPr>
          <w:rFonts w:ascii="Arial" w:hAnsi="Arial" w:cs="Arial"/>
          <w:sz w:val="20"/>
          <w:szCs w:val="20"/>
        </w:rPr>
      </w:pPr>
      <w:r w:rsidRPr="008E3BF7">
        <w:rPr>
          <w:rFonts w:ascii="Arial" w:hAnsi="Arial" w:cs="Arial"/>
          <w:sz w:val="20"/>
          <w:szCs w:val="20"/>
        </w:rPr>
        <w:t>The method that worked best most often for the 1</w:t>
      </w:r>
      <w:r w:rsidR="00BA071B" w:rsidRPr="008E3BF7">
        <w:rPr>
          <w:rFonts w:ascii="Arial" w:hAnsi="Arial" w:cs="Arial"/>
          <w:sz w:val="20"/>
          <w:szCs w:val="20"/>
        </w:rPr>
        <w:t>08</w:t>
      </w:r>
      <w:r w:rsidRPr="008E3BF7">
        <w:rPr>
          <w:rFonts w:ascii="Arial" w:hAnsi="Arial" w:cs="Arial"/>
          <w:sz w:val="20"/>
          <w:szCs w:val="20"/>
        </w:rPr>
        <w:t xml:space="preserve"> time series was eventually used to obtain point estimates of the percentage differences between actual values of the dependent variable and the baseline forecasts, as well as 80% uncertainty intervals commonly used in forecasting </w:t>
      </w:r>
      <w:r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{"citationItems":[{"id":"ITEM-1","itemData":{"author":[{"dropping-particle":"","family":"Makridakis","given":"Spyros","non-dropping-particle":"","parse-names":false,"suffix":""},{"dropping-particle":"","family":"Wheelwright","given":"Steven C","non-dropping-particle":"","parse-names":false,"suffix":""},{"dropping-particle":"","family":"Hyndman","given":"Rob J","non-dropping-particle":"","parse-names":false,"suffix":""}],"id":"ITEM-1","issued":{"date-parts":[["2008"]]},"publisher":"John wiley &amp; sons","title":"Forecasting methods and applications","type":"book"},"uris":["http://www.mendeley.com/documents/?uuid=161d21f4-2dfa-4e93-b8c0-01a656ccfbad"]}],"mendeley":{"formattedCitation":"(Makridakis, Wheelwright and Hyndman, 2008)","plainTextFormattedCitation":"(Makridakis, Wheelwright and Hyndman, 2008)","previouslyFormattedCitation":"(Makridakis et al., 2008)"},"properties":{"noteIndex":0},"schema":"https://github.com/citation-style-language/schema/raw/master/csl-citation.json"}</w:instrText>
      </w:r>
      <w:r w:rsidRPr="008E3BF7">
        <w:rPr>
          <w:rFonts w:ascii="Arial" w:hAnsi="Arial" w:cs="Arial"/>
          <w:sz w:val="20"/>
          <w:szCs w:val="20"/>
        </w:rPr>
        <w:fldChar w:fldCharType="separate"/>
      </w:r>
      <w:r w:rsidR="008E3BF7" w:rsidRPr="008E3BF7">
        <w:rPr>
          <w:rFonts w:ascii="Arial" w:hAnsi="Arial" w:cs="Arial"/>
          <w:noProof/>
          <w:sz w:val="20"/>
          <w:szCs w:val="20"/>
        </w:rPr>
        <w:t>(Makridakis, Wheelwright and Hyndman, 2008)</w:t>
      </w:r>
      <w:r w:rsidRPr="008E3BF7">
        <w:rPr>
          <w:rFonts w:ascii="Arial" w:hAnsi="Arial" w:cs="Arial"/>
          <w:sz w:val="20"/>
          <w:szCs w:val="20"/>
        </w:rPr>
        <w:fldChar w:fldCharType="end"/>
      </w:r>
      <w:r w:rsidRPr="008E3BF7">
        <w:rPr>
          <w:rFonts w:ascii="Arial" w:hAnsi="Arial" w:cs="Arial"/>
          <w:sz w:val="20"/>
          <w:szCs w:val="20"/>
        </w:rPr>
        <w:t>.  Estimate</w:t>
      </w:r>
      <w:r w:rsidR="00C43FE8" w:rsidRPr="008E3BF7">
        <w:rPr>
          <w:rFonts w:ascii="Arial" w:hAnsi="Arial" w:cs="Arial"/>
          <w:sz w:val="20"/>
          <w:szCs w:val="20"/>
        </w:rPr>
        <w:t>d</w:t>
      </w:r>
      <w:r w:rsidRPr="008E3BF7">
        <w:rPr>
          <w:rFonts w:ascii="Arial" w:hAnsi="Arial" w:cs="Arial"/>
          <w:sz w:val="20"/>
          <w:szCs w:val="20"/>
        </w:rPr>
        <w:t xml:space="preserve"> losses were visualized using </w:t>
      </w:r>
      <w:r w:rsidR="00C43FE8" w:rsidRPr="008E3BF7">
        <w:rPr>
          <w:rFonts w:ascii="Arial" w:hAnsi="Arial" w:cs="Arial"/>
          <w:sz w:val="20"/>
          <w:szCs w:val="20"/>
        </w:rPr>
        <w:t xml:space="preserve">boxplots and </w:t>
      </w:r>
      <w:r w:rsidRPr="008E3BF7">
        <w:rPr>
          <w:rFonts w:ascii="Arial" w:hAnsi="Arial" w:cs="Arial"/>
          <w:sz w:val="20"/>
          <w:szCs w:val="20"/>
        </w:rPr>
        <w:t>heatmaps</w:t>
      </w:r>
      <w:r w:rsidR="00C43FE8" w:rsidRPr="008E3BF7">
        <w:rPr>
          <w:rFonts w:ascii="Arial" w:hAnsi="Arial" w:cs="Arial"/>
          <w:sz w:val="20"/>
          <w:szCs w:val="20"/>
        </w:rPr>
        <w:t xml:space="preserve"> with hierarchical clustering</w:t>
      </w:r>
      <w:r w:rsidRPr="008E3BF7">
        <w:rPr>
          <w:rFonts w:ascii="Arial" w:hAnsi="Arial" w:cs="Arial"/>
          <w:sz w:val="20"/>
          <w:szCs w:val="20"/>
        </w:rPr>
        <w:t xml:space="preserve"> which allowed to reveal groupings of subsectors and countries. Additional</w:t>
      </w:r>
      <w:r w:rsidR="00DC022F" w:rsidRPr="008E3BF7">
        <w:rPr>
          <w:rFonts w:ascii="Arial" w:hAnsi="Arial" w:cs="Arial"/>
          <w:sz w:val="20"/>
          <w:szCs w:val="20"/>
        </w:rPr>
        <w:t xml:space="preserve"> meta-analysis was aimed at explaining the heterogeneity of </w:t>
      </w:r>
      <w:r w:rsidR="00A35D01" w:rsidRPr="008E3BF7">
        <w:rPr>
          <w:rFonts w:ascii="Arial" w:hAnsi="Arial" w:cs="Arial"/>
          <w:sz w:val="20"/>
          <w:szCs w:val="20"/>
        </w:rPr>
        <w:t xml:space="preserve">estimated </w:t>
      </w:r>
      <w:r w:rsidR="00CE3499" w:rsidRPr="008E3BF7">
        <w:rPr>
          <w:rFonts w:ascii="Arial" w:hAnsi="Arial" w:cs="Arial"/>
          <w:sz w:val="20"/>
          <w:szCs w:val="20"/>
        </w:rPr>
        <w:t>percentage</w:t>
      </w:r>
      <w:r w:rsidR="00DC022F" w:rsidRPr="008E3BF7">
        <w:rPr>
          <w:rFonts w:ascii="Arial" w:hAnsi="Arial" w:cs="Arial"/>
          <w:sz w:val="20"/>
          <w:szCs w:val="20"/>
        </w:rPr>
        <w:t xml:space="preserve"> losses for 1</w:t>
      </w:r>
      <w:r w:rsidR="008C2BBE" w:rsidRPr="008E3BF7">
        <w:rPr>
          <w:rFonts w:ascii="Arial" w:hAnsi="Arial" w:cs="Arial"/>
          <w:sz w:val="20"/>
          <w:szCs w:val="20"/>
        </w:rPr>
        <w:t>08</w:t>
      </w:r>
      <w:r w:rsidR="00DC022F" w:rsidRPr="008E3BF7">
        <w:rPr>
          <w:rFonts w:ascii="Arial" w:hAnsi="Arial" w:cs="Arial"/>
          <w:sz w:val="20"/>
          <w:szCs w:val="20"/>
        </w:rPr>
        <w:t xml:space="preserve"> country-sector-guest combinations using the characteristics of the series (meta-data). All </w:t>
      </w:r>
      <w:r w:rsidRPr="008E3BF7">
        <w:rPr>
          <w:rFonts w:ascii="Arial" w:hAnsi="Arial" w:cs="Arial"/>
          <w:sz w:val="20"/>
          <w:szCs w:val="20"/>
        </w:rPr>
        <w:t>4</w:t>
      </w:r>
      <w:r w:rsidR="00DC022F" w:rsidRPr="008E3BF7">
        <w:rPr>
          <w:rFonts w:ascii="Arial" w:hAnsi="Arial" w:cs="Arial"/>
          <w:sz w:val="20"/>
          <w:szCs w:val="20"/>
        </w:rPr>
        <w:t xml:space="preserve"> explanatory </w:t>
      </w:r>
      <w:r w:rsidR="00A35D01" w:rsidRPr="008E3BF7">
        <w:rPr>
          <w:rFonts w:ascii="Arial" w:hAnsi="Arial" w:cs="Arial"/>
          <w:sz w:val="20"/>
          <w:szCs w:val="20"/>
        </w:rPr>
        <w:t>variables</w:t>
      </w:r>
      <w:r w:rsidR="00DC022F" w:rsidRPr="008E3BF7">
        <w:rPr>
          <w:rFonts w:ascii="Arial" w:hAnsi="Arial" w:cs="Arial"/>
          <w:sz w:val="20"/>
          <w:szCs w:val="20"/>
        </w:rPr>
        <w:t xml:space="preserve"> </w:t>
      </w:r>
      <w:r w:rsidRPr="008E3BF7">
        <w:rPr>
          <w:rFonts w:ascii="Arial" w:hAnsi="Arial" w:cs="Arial"/>
          <w:sz w:val="20"/>
          <w:szCs w:val="20"/>
        </w:rPr>
        <w:t>were</w:t>
      </w:r>
      <w:r w:rsidR="00DC022F" w:rsidRPr="008E3BF7">
        <w:rPr>
          <w:rFonts w:ascii="Arial" w:hAnsi="Arial" w:cs="Arial"/>
          <w:sz w:val="20"/>
          <w:szCs w:val="20"/>
        </w:rPr>
        <w:t xml:space="preserve"> </w:t>
      </w:r>
      <w:r w:rsidR="00923E79" w:rsidRPr="008E3BF7">
        <w:rPr>
          <w:rFonts w:ascii="Arial" w:hAnsi="Arial" w:cs="Arial"/>
          <w:sz w:val="20"/>
          <w:szCs w:val="20"/>
        </w:rPr>
        <w:t>categorical (country/sector/guest</w:t>
      </w:r>
      <w:r w:rsidRPr="008E3BF7">
        <w:rPr>
          <w:rFonts w:ascii="Arial" w:hAnsi="Arial" w:cs="Arial"/>
          <w:sz w:val="20"/>
          <w:szCs w:val="20"/>
        </w:rPr>
        <w:t>’s</w:t>
      </w:r>
      <w:r w:rsidR="00923E79" w:rsidRPr="008E3BF7">
        <w:rPr>
          <w:rFonts w:ascii="Arial" w:hAnsi="Arial" w:cs="Arial"/>
          <w:sz w:val="20"/>
          <w:szCs w:val="20"/>
        </w:rPr>
        <w:t xml:space="preserve"> </w:t>
      </w:r>
      <w:r w:rsidRPr="008E3BF7">
        <w:rPr>
          <w:rFonts w:ascii="Arial" w:hAnsi="Arial" w:cs="Arial"/>
          <w:sz w:val="20"/>
          <w:szCs w:val="20"/>
        </w:rPr>
        <w:t>residence</w:t>
      </w:r>
      <w:r w:rsidR="00923E79" w:rsidRPr="008E3BF7">
        <w:rPr>
          <w:rFonts w:ascii="Arial" w:hAnsi="Arial" w:cs="Arial"/>
          <w:sz w:val="20"/>
          <w:szCs w:val="20"/>
        </w:rPr>
        <w:t>/month</w:t>
      </w:r>
      <w:r w:rsidR="00DC022F" w:rsidRPr="008E3BF7">
        <w:rPr>
          <w:rFonts w:ascii="Arial" w:hAnsi="Arial" w:cs="Arial"/>
          <w:sz w:val="20"/>
          <w:szCs w:val="20"/>
        </w:rPr>
        <w:t xml:space="preserve">), which is why an effective method for handling categorical data and revealing interactions was needed. We used </w:t>
      </w:r>
      <w:r w:rsidRPr="008E3BF7">
        <w:rPr>
          <w:rFonts w:ascii="Arial" w:hAnsi="Arial" w:cs="Arial"/>
          <w:sz w:val="20"/>
          <w:szCs w:val="20"/>
        </w:rPr>
        <w:t xml:space="preserve">OLS regressions with heteroscedasticity robust standard errors to explain heterogeneity of loss estimates and </w:t>
      </w:r>
      <w:r w:rsidR="00DC022F" w:rsidRPr="008E3BF7">
        <w:rPr>
          <w:rFonts w:ascii="Arial" w:hAnsi="Arial" w:cs="Arial"/>
          <w:sz w:val="20"/>
          <w:szCs w:val="20"/>
        </w:rPr>
        <w:t>binary logistic regression</w:t>
      </w:r>
      <w:r w:rsidRPr="008E3BF7">
        <w:rPr>
          <w:rFonts w:ascii="Arial" w:hAnsi="Arial" w:cs="Arial"/>
          <w:sz w:val="20"/>
          <w:szCs w:val="20"/>
        </w:rPr>
        <w:t>s</w:t>
      </w:r>
      <w:r w:rsidR="00DC022F" w:rsidRPr="008E3BF7">
        <w:rPr>
          <w:rFonts w:ascii="Arial" w:hAnsi="Arial" w:cs="Arial"/>
          <w:sz w:val="20"/>
          <w:szCs w:val="20"/>
        </w:rPr>
        <w:t xml:space="preserve"> </w:t>
      </w:r>
      <w:r w:rsidR="008C2BBE"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{"citationItems":[{"id":"ITEM-1","itemData":{"author":[{"dropping-particle":"","family":"Hosmer Jr","given":"David W","non-dropping-particle":"","parse-names":false,"suffix":""},{"dropping-particle":"","family":"Lemeshow","given":"Stanley","non-dropping-particle":"","parse-names":false,"suffix":""},{"dropping-particle":"","family":"Sturdivant","given":"Rodney X","non-dropping-particle":"","parse-names":false,"suffix":""}],"id":"ITEM-1","issued":{"date-parts":[["2013"]]},"publisher":"John Wiley &amp; Sons","title":"Applied logistic regression","type":"book","volume":"398"},"uris":["http://www.mendeley.com/documents/?uuid=621912a8-e3b9-41fd-9a62-79640183f799"]}],"mendeley":{"formattedCitation":"(Hosmer Jr, Lemeshow and Sturdivant, 2013)","plainTextFormattedCitation":"(Hosmer Jr, Lemeshow and Sturdivant, 2013)","previouslyFormattedCitation":"(Hosmer Jr et al., 2013)"},"properties":{"noteIndex":0},"schema":"https://github.com/citation-style-language/schema/raw/master/csl-citation.json"}</w:instrText>
      </w:r>
      <w:r w:rsidR="008C2BBE" w:rsidRPr="008E3BF7">
        <w:rPr>
          <w:rFonts w:ascii="Arial" w:hAnsi="Arial" w:cs="Arial"/>
          <w:sz w:val="20"/>
          <w:szCs w:val="20"/>
        </w:rPr>
        <w:fldChar w:fldCharType="separate"/>
      </w:r>
      <w:r w:rsidR="008E3BF7" w:rsidRPr="008E3BF7">
        <w:rPr>
          <w:rFonts w:ascii="Arial" w:hAnsi="Arial" w:cs="Arial"/>
          <w:noProof/>
          <w:sz w:val="20"/>
          <w:szCs w:val="20"/>
        </w:rPr>
        <w:t>(Hosmer Jr, Lemeshow and Sturdivant, 2013)</w:t>
      </w:r>
      <w:r w:rsidR="008C2BBE" w:rsidRPr="008E3BF7">
        <w:rPr>
          <w:rFonts w:ascii="Arial" w:hAnsi="Arial" w:cs="Arial"/>
          <w:sz w:val="20"/>
          <w:szCs w:val="20"/>
        </w:rPr>
        <w:fldChar w:fldCharType="end"/>
      </w:r>
      <w:r w:rsidR="00DC022F" w:rsidRPr="008E3BF7">
        <w:rPr>
          <w:rFonts w:ascii="Arial" w:hAnsi="Arial" w:cs="Arial"/>
          <w:sz w:val="20"/>
          <w:szCs w:val="20"/>
        </w:rPr>
        <w:t xml:space="preserve"> to </w:t>
      </w:r>
      <w:r w:rsidRPr="008E3BF7">
        <w:rPr>
          <w:rFonts w:ascii="Arial" w:hAnsi="Arial" w:cs="Arial"/>
          <w:sz w:val="20"/>
          <w:szCs w:val="20"/>
        </w:rPr>
        <w:t>explain</w:t>
      </w:r>
      <w:r w:rsidR="00DC022F" w:rsidRPr="008E3BF7">
        <w:rPr>
          <w:rFonts w:ascii="Arial" w:hAnsi="Arial" w:cs="Arial"/>
          <w:sz w:val="20"/>
          <w:szCs w:val="20"/>
        </w:rPr>
        <w:t xml:space="preserve"> the probability of </w:t>
      </w:r>
      <w:r w:rsidRPr="008E3BF7">
        <w:rPr>
          <w:rFonts w:ascii="Arial" w:hAnsi="Arial" w:cs="Arial"/>
          <w:sz w:val="20"/>
          <w:szCs w:val="20"/>
        </w:rPr>
        <w:t>being in the lowest quartile by losses.</w:t>
      </w:r>
      <w:r w:rsidR="00DC022F" w:rsidRPr="008E3BF7">
        <w:rPr>
          <w:rFonts w:ascii="Arial" w:hAnsi="Arial" w:cs="Arial"/>
          <w:sz w:val="20"/>
          <w:szCs w:val="20"/>
        </w:rPr>
        <w:t xml:space="preserve"> Based on the results of a series of models with different dependent variables (both continuous (% losses) and </w:t>
      </w:r>
      <w:r w:rsidR="00000A31" w:rsidRPr="008E3BF7">
        <w:rPr>
          <w:rFonts w:ascii="Arial" w:hAnsi="Arial" w:cs="Arial"/>
          <w:sz w:val="20"/>
          <w:szCs w:val="20"/>
        </w:rPr>
        <w:t>discrete</w:t>
      </w:r>
      <w:r w:rsidR="00DC022F" w:rsidRPr="008E3BF7">
        <w:rPr>
          <w:rFonts w:ascii="Arial" w:hAnsi="Arial" w:cs="Arial"/>
          <w:sz w:val="20"/>
          <w:szCs w:val="20"/>
        </w:rPr>
        <w:t xml:space="preserve"> (</w:t>
      </w:r>
      <w:r w:rsidR="00000A31" w:rsidRPr="008E3BF7">
        <w:rPr>
          <w:rFonts w:ascii="Arial" w:hAnsi="Arial" w:cs="Arial"/>
          <w:sz w:val="20"/>
          <w:szCs w:val="20"/>
        </w:rPr>
        <w:t>losses</w:t>
      </w:r>
      <w:r w:rsidR="00DC022F" w:rsidRPr="008E3BF7">
        <w:rPr>
          <w:rFonts w:ascii="Arial" w:hAnsi="Arial" w:cs="Arial"/>
          <w:sz w:val="20"/>
          <w:szCs w:val="20"/>
        </w:rPr>
        <w:t xml:space="preserve"> exceeding the median)) conclusions were made based on the most stable empirical facts.</w:t>
      </w:r>
      <w:r w:rsidR="00D90176" w:rsidRPr="008E3BF7">
        <w:rPr>
          <w:rFonts w:ascii="Arial" w:hAnsi="Arial" w:cs="Arial"/>
          <w:sz w:val="20"/>
          <w:szCs w:val="20"/>
        </w:rPr>
        <w:t xml:space="preserve"> </w:t>
      </w:r>
      <w:r w:rsidR="009C1091" w:rsidRPr="008E3BF7">
        <w:rPr>
          <w:rFonts w:ascii="Arial" w:hAnsi="Arial" w:cs="Arial"/>
          <w:sz w:val="20"/>
          <w:szCs w:val="20"/>
        </w:rPr>
        <w:t xml:space="preserve">Shapley value decomposition was </w:t>
      </w:r>
      <w:r w:rsidR="00B52859" w:rsidRPr="008E3BF7">
        <w:rPr>
          <w:rFonts w:ascii="Arial" w:hAnsi="Arial" w:cs="Arial"/>
          <w:sz w:val="20"/>
          <w:szCs w:val="20"/>
        </w:rPr>
        <w:t>applied</w:t>
      </w:r>
      <w:r w:rsidR="009C1091" w:rsidRPr="008E3BF7">
        <w:rPr>
          <w:rFonts w:ascii="Arial" w:hAnsi="Arial" w:cs="Arial"/>
          <w:sz w:val="20"/>
          <w:szCs w:val="20"/>
        </w:rPr>
        <w:t xml:space="preserve"> to decompose </w:t>
      </w:r>
      <w:r w:rsidR="00B52859" w:rsidRPr="008E3BF7">
        <w:rPr>
          <w:rFonts w:ascii="Arial" w:hAnsi="Arial" w:cs="Arial"/>
          <w:sz w:val="20"/>
          <w:szCs w:val="20"/>
        </w:rPr>
        <w:t>R</w:t>
      </w:r>
      <w:r w:rsidR="00B52859" w:rsidRPr="008E3BF7">
        <w:rPr>
          <w:rFonts w:ascii="Arial" w:hAnsi="Arial" w:cs="Arial"/>
          <w:sz w:val="20"/>
          <w:szCs w:val="20"/>
          <w:vertAlign w:val="superscript"/>
        </w:rPr>
        <w:t>2</w:t>
      </w:r>
      <w:r w:rsidR="00B52859" w:rsidRPr="008E3BF7">
        <w:rPr>
          <w:rFonts w:ascii="Arial" w:hAnsi="Arial" w:cs="Arial"/>
          <w:sz w:val="20"/>
          <w:szCs w:val="20"/>
        </w:rPr>
        <w:t xml:space="preserve"> (in the case of the OLS regression) and McFadden’s R</w:t>
      </w:r>
      <w:r w:rsidR="00B52859" w:rsidRPr="008E3BF7">
        <w:rPr>
          <w:rFonts w:ascii="Arial" w:hAnsi="Arial" w:cs="Arial"/>
          <w:sz w:val="20"/>
          <w:szCs w:val="20"/>
          <w:vertAlign w:val="superscript"/>
        </w:rPr>
        <w:t>2</w:t>
      </w:r>
      <w:r w:rsidR="00B52859" w:rsidRPr="008E3BF7">
        <w:rPr>
          <w:rFonts w:ascii="Arial" w:hAnsi="Arial" w:cs="Arial"/>
          <w:sz w:val="20"/>
          <w:szCs w:val="20"/>
        </w:rPr>
        <w:t xml:space="preserve"> (in the case of the binary logistic regression) into the contributions of individual factors</w:t>
      </w:r>
      <w:r w:rsidR="009D37F8" w:rsidRPr="008E3BF7">
        <w:rPr>
          <w:rFonts w:ascii="Arial" w:hAnsi="Arial" w:cs="Arial"/>
          <w:sz w:val="20"/>
          <w:szCs w:val="20"/>
        </w:rPr>
        <w:t xml:space="preserve">. The decomposition is based on averaging </w:t>
      </w:r>
      <w:r w:rsidR="009D37F8" w:rsidRPr="008E3BF7">
        <w:rPr>
          <w:rFonts w:ascii="Arial" w:hAnsi="Arial" w:cs="Arial"/>
          <w:color w:val="000000"/>
          <w:sz w:val="20"/>
          <w:szCs w:val="20"/>
          <w:shd w:val="clear" w:color="auto" w:fill="FFFFFF"/>
        </w:rPr>
        <w:t>relative importance over all orderings of the independent variables</w:t>
      </w:r>
      <w:r w:rsidR="009D37F8" w:rsidRPr="008E3BF7">
        <w:rPr>
          <w:rFonts w:ascii="Arial" w:hAnsi="Arial" w:cs="Arial"/>
          <w:sz w:val="20"/>
          <w:szCs w:val="20"/>
        </w:rPr>
        <w:t xml:space="preserve"> </w:t>
      </w:r>
      <w:r w:rsidR="009D37F8" w:rsidRPr="008E3BF7">
        <w:rPr>
          <w:rFonts w:ascii="Arial" w:hAnsi="Arial" w:cs="Arial"/>
          <w:sz w:val="20"/>
          <w:szCs w:val="20"/>
        </w:rPr>
        <w:fldChar w:fldCharType="begin" w:fldLock="1"/>
      </w:r>
      <w:r w:rsidR="003F2A2D" w:rsidRPr="008E3BF7">
        <w:rPr>
          <w:rFonts w:ascii="Arial" w:hAnsi="Arial" w:cs="Arial"/>
          <w:sz w:val="20"/>
          <w:szCs w:val="20"/>
        </w:rPr>
        <w:instrText>ADDIN CSL_CITATION {"citationItems":[{"id":"ITEM-1","itemData":{"author":[{"dropping-particle":"","family":"Azen","given":"Razia","non-dropping-particle":"","parse-names":false,"suffix":""},{"dropping-particle":"V","family":"Budescu","given":"David","non-dropping-particle":"","parse-names":false,"suffix":""}],"container-title":"Psychological methods","id":"ITEM-1","issue":"2","issued":{"date-parts":[["2003"]]},"page":"129","publisher":"American Psychological Association","title":"The dominance analysis approach for comparing predictors in multiple regression.","type":"article-journal","volume":"8"},"uris":["http://www.mendeley.com/documents/?uuid=cd7bacf9-371b-4d9b-98a0-58d23a13499b"]},{"id":"ITEM-2","itemData":{"author":[{"dropping-particle":"","family":"Azen","given":"Razia","non-dropping-particle":"","parse-names":false,"suffix":""},{"dropping-particle":"","family":"Traxel","given":"Nicole","non-dropping-particle":"","parse-names":false,"suffix":""}],"container-title":"Journal of Educational and Behavioral Statistics","id":"ITEM-2","issue":"3","issued":{"date-parts":[["2009"]]},"page":"319-347","publisher":"Sage Publications Sage CA: Los Angeles, CA","title":"Using dominance analysis to determine predictor importance in logistic regression","type":"article-journal","volume":"34"},"uris":["http://www.mendeley.com/documents/?uuid=ce120225-a3f1-4408-9190-2ef7171275df"]},{"id":"ITEM-3","itemData":{"DOI":"10.1007/s10888-011-9214-z","ISSN":"1569-1721","author":[{"dropping-particle":"","family":"Shorrocks","given":"AnthonyF.","non-dropping-particle":"","parse-names":false,"suffix":""}],"container-title":"The Journal of Economic Inequality","id":"ITEM-3","issue":"1","issued":{"date-parts":[["2013"]]},"language":"English","page":"99-126","publisher":"Springer US","title":"Decomposition procedures for distributional analysis: a unified framework based on the Shapley value","type":"article-journal","volume":"11"},"uris":["http://www.mendeley.com/documents/?uuid=8d396e46-65f2-4642-abfc-7db5ff3770c5"]}],"mendeley":{"formattedCitation":"(Azen and Budescu, 2003; Azen and Traxel, 2009; Shorrocks, 2013)","plainTextFormattedCitation":"(Azen and Budescu, 2003; Azen and Traxel, 2009; Shorrocks, 2013)","previouslyFormattedCitation":"(Azen and Budescu, 2003; Azen and Traxel, 2009; Shorrocks, 2013)"},"properties":{"noteIndex":0},"schema":"https://github.com/citation-style-language/schema/raw/master/csl-citation.json"}</w:instrText>
      </w:r>
      <w:r w:rsidR="009D37F8" w:rsidRPr="008E3BF7">
        <w:rPr>
          <w:rFonts w:ascii="Arial" w:hAnsi="Arial" w:cs="Arial"/>
          <w:sz w:val="20"/>
          <w:szCs w:val="20"/>
        </w:rPr>
        <w:fldChar w:fldCharType="separate"/>
      </w:r>
      <w:r w:rsidR="009D37F8" w:rsidRPr="008E3BF7">
        <w:rPr>
          <w:rFonts w:ascii="Arial" w:hAnsi="Arial" w:cs="Arial"/>
          <w:noProof/>
          <w:sz w:val="20"/>
          <w:szCs w:val="20"/>
        </w:rPr>
        <w:t>(Azen and Budescu, 2003; Azen and Traxel, 2009; Shorrocks, 2013)</w:t>
      </w:r>
      <w:r w:rsidR="009D37F8" w:rsidRPr="008E3BF7">
        <w:rPr>
          <w:rFonts w:ascii="Arial" w:hAnsi="Arial" w:cs="Arial"/>
          <w:sz w:val="20"/>
          <w:szCs w:val="20"/>
        </w:rPr>
        <w:fldChar w:fldCharType="end"/>
      </w:r>
      <w:r w:rsidR="009D37F8" w:rsidRPr="008E3BF7">
        <w:rPr>
          <w:rFonts w:ascii="Arial" w:hAnsi="Arial" w:cs="Arial"/>
          <w:sz w:val="20"/>
          <w:szCs w:val="20"/>
        </w:rPr>
        <w:t>.</w:t>
      </w:r>
    </w:p>
    <w:p w14:paraId="69A7AE07" w14:textId="77777777" w:rsidR="00F65A85" w:rsidRPr="008E3BF7" w:rsidRDefault="00F65A85" w:rsidP="00237322">
      <w:pPr>
        <w:spacing w:after="0" w:line="240" w:lineRule="auto"/>
        <w:jc w:val="both"/>
        <w:rPr>
          <w:rFonts w:ascii="Arial" w:hAnsi="Arial" w:cs="Arial"/>
          <w:sz w:val="18"/>
          <w:szCs w:val="18"/>
        </w:rPr>
      </w:pPr>
    </w:p>
    <w:p w14:paraId="5C2065CE" w14:textId="21802BC7" w:rsidR="0053638A" w:rsidRPr="008E3BF7" w:rsidRDefault="0053638A" w:rsidP="00237322">
      <w:pPr>
        <w:pStyle w:val="ListParagraph"/>
        <w:numPr>
          <w:ilvl w:val="0"/>
          <w:numId w:val="8"/>
        </w:numPr>
        <w:spacing w:after="0" w:line="240" w:lineRule="auto"/>
        <w:jc w:val="both"/>
        <w:rPr>
          <w:rFonts w:ascii="Arial" w:hAnsi="Arial" w:cs="Arial"/>
          <w:b/>
          <w:bCs/>
          <w:color w:val="000000"/>
          <w:shd w:val="clear" w:color="auto" w:fill="FFFFFF"/>
        </w:rPr>
      </w:pPr>
      <w:r w:rsidRPr="008E3BF7">
        <w:rPr>
          <w:rFonts w:ascii="Arial" w:hAnsi="Arial" w:cs="Arial"/>
          <w:b/>
          <w:bCs/>
          <w:color w:val="000000"/>
          <w:shd w:val="clear" w:color="auto" w:fill="FFFFFF"/>
        </w:rPr>
        <w:t>Results</w:t>
      </w:r>
    </w:p>
    <w:p w14:paraId="4FEB0C8A" w14:textId="58C6A4ED" w:rsidR="009500F1" w:rsidRPr="008E3BF7" w:rsidRDefault="00EE7317" w:rsidP="00237322">
      <w:pPr>
        <w:spacing w:after="0" w:line="240" w:lineRule="auto"/>
        <w:jc w:val="both"/>
        <w:rPr>
          <w:rFonts w:ascii="Arial" w:hAnsi="Arial" w:cs="Arial"/>
          <w:b/>
          <w:bCs/>
          <w:color w:val="000000"/>
          <w:shd w:val="clear" w:color="auto" w:fill="FFFFFF"/>
        </w:rPr>
      </w:pPr>
      <w:r w:rsidRPr="008E3BF7">
        <w:rPr>
          <w:rFonts w:ascii="Arial" w:hAnsi="Arial" w:cs="Arial"/>
          <w:b/>
          <w:bCs/>
          <w:color w:val="000000"/>
          <w:shd w:val="clear" w:color="auto" w:fill="FFFFFF"/>
        </w:rPr>
        <w:t>5.1</w:t>
      </w:r>
      <w:r w:rsidR="00C86EF5" w:rsidRPr="008E3BF7">
        <w:rPr>
          <w:rFonts w:ascii="Arial" w:hAnsi="Arial" w:cs="Arial"/>
          <w:b/>
          <w:bCs/>
          <w:color w:val="000000"/>
          <w:shd w:val="clear" w:color="auto" w:fill="FFFFFF"/>
        </w:rPr>
        <w:t xml:space="preserve"> </w:t>
      </w:r>
      <w:r w:rsidR="009500F1" w:rsidRPr="008E3BF7">
        <w:rPr>
          <w:rFonts w:ascii="Arial" w:hAnsi="Arial" w:cs="Arial"/>
          <w:b/>
          <w:bCs/>
          <w:color w:val="000000"/>
          <w:shd w:val="clear" w:color="auto" w:fill="FFFFFF"/>
        </w:rPr>
        <w:t>Comparison of forecasting algorithms</w:t>
      </w:r>
    </w:p>
    <w:p w14:paraId="1EE612C0" w14:textId="58FFB7C5" w:rsidR="00DD2698" w:rsidRPr="008E3BF7" w:rsidRDefault="00DD2698"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Table </w:t>
      </w:r>
      <w:r w:rsidR="008C2BBE" w:rsidRPr="008E3BF7">
        <w:rPr>
          <w:rFonts w:ascii="Arial" w:hAnsi="Arial" w:cs="Arial"/>
          <w:color w:val="000000"/>
          <w:sz w:val="20"/>
          <w:szCs w:val="20"/>
          <w:shd w:val="clear" w:color="auto" w:fill="FFFFFF"/>
        </w:rPr>
        <w:t>1</w:t>
      </w:r>
      <w:r w:rsidRPr="008E3BF7">
        <w:rPr>
          <w:rFonts w:ascii="Arial" w:hAnsi="Arial" w:cs="Arial"/>
          <w:color w:val="000000"/>
          <w:sz w:val="20"/>
          <w:szCs w:val="20"/>
          <w:shd w:val="clear" w:color="auto" w:fill="FFFFFF"/>
        </w:rPr>
        <w:t xml:space="preserve"> reports the </w:t>
      </w:r>
      <w:r w:rsidR="009C1091" w:rsidRPr="008E3BF7">
        <w:rPr>
          <w:rFonts w:ascii="Arial" w:hAnsi="Arial" w:cs="Arial"/>
          <w:color w:val="000000"/>
          <w:sz w:val="20"/>
          <w:szCs w:val="20"/>
          <w:shd w:val="clear" w:color="auto" w:fill="FFFFFF"/>
        </w:rPr>
        <w:t>number</w:t>
      </w:r>
      <w:r w:rsidRPr="008E3BF7">
        <w:rPr>
          <w:rFonts w:ascii="Arial" w:hAnsi="Arial" w:cs="Arial"/>
          <w:color w:val="000000"/>
          <w:sz w:val="20"/>
          <w:szCs w:val="20"/>
          <w:shd w:val="clear" w:color="auto" w:fill="FFFFFF"/>
        </w:rPr>
        <w:t xml:space="preserve"> of time series </w:t>
      </w:r>
      <w:r w:rsidR="008C2BBE" w:rsidRPr="008E3BF7">
        <w:rPr>
          <w:rFonts w:ascii="Arial" w:hAnsi="Arial" w:cs="Arial"/>
          <w:color w:val="000000"/>
          <w:sz w:val="20"/>
          <w:szCs w:val="20"/>
          <w:shd w:val="clear" w:color="auto" w:fill="FFFFFF"/>
        </w:rPr>
        <w:t>for which</w:t>
      </w:r>
      <w:r w:rsidRPr="008E3BF7">
        <w:rPr>
          <w:rFonts w:ascii="Arial" w:hAnsi="Arial" w:cs="Arial"/>
          <w:color w:val="000000"/>
          <w:sz w:val="20"/>
          <w:szCs w:val="20"/>
          <w:shd w:val="clear" w:color="auto" w:fill="FFFFFF"/>
        </w:rPr>
        <w:t xml:space="preserve"> each model gave the lowest MAPE </w:t>
      </w:r>
      <w:r w:rsidR="009C1091" w:rsidRPr="008E3BF7">
        <w:rPr>
          <w:rFonts w:ascii="Arial" w:hAnsi="Arial" w:cs="Arial"/>
          <w:color w:val="000000"/>
          <w:sz w:val="20"/>
          <w:szCs w:val="20"/>
          <w:shd w:val="clear" w:color="auto" w:fill="FFFFFF"/>
        </w:rPr>
        <w:t>and MAE</w:t>
      </w:r>
      <w:r w:rsidRPr="008E3BF7">
        <w:rPr>
          <w:rFonts w:ascii="Arial" w:hAnsi="Arial" w:cs="Arial"/>
          <w:color w:val="000000"/>
          <w:sz w:val="20"/>
          <w:szCs w:val="20"/>
          <w:shd w:val="clear" w:color="auto" w:fill="FFFFFF"/>
        </w:rPr>
        <w:t>.</w:t>
      </w:r>
    </w:p>
    <w:p w14:paraId="202DBADB" w14:textId="15663742" w:rsidR="00587F8E" w:rsidRPr="008E3BF7" w:rsidRDefault="00587F8E" w:rsidP="00237322">
      <w:pPr>
        <w:spacing w:after="0" w:line="240" w:lineRule="auto"/>
        <w:jc w:val="both"/>
        <w:rPr>
          <w:rFonts w:ascii="Arial" w:hAnsi="Arial" w:cs="Arial"/>
          <w:color w:val="000000"/>
          <w:sz w:val="20"/>
          <w:szCs w:val="20"/>
          <w:shd w:val="clear" w:color="auto" w:fill="FFFFFF"/>
        </w:rPr>
      </w:pPr>
    </w:p>
    <w:p w14:paraId="5246CBA1" w14:textId="416299E1" w:rsidR="00070286" w:rsidRPr="008E3BF7" w:rsidRDefault="00DA4EA7" w:rsidP="00237322">
      <w:pPr>
        <w:spacing w:after="0" w:line="240" w:lineRule="auto"/>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lastRenderedPageBreak/>
        <w:t xml:space="preserve">Table </w:t>
      </w:r>
      <w:r w:rsidR="008C2BBE" w:rsidRPr="008E3BF7">
        <w:rPr>
          <w:rFonts w:ascii="Arial" w:hAnsi="Arial" w:cs="Arial"/>
          <w:color w:val="000000"/>
          <w:sz w:val="20"/>
          <w:szCs w:val="20"/>
          <w:shd w:val="clear" w:color="auto" w:fill="FFFFFF"/>
        </w:rPr>
        <w:t>1</w:t>
      </w:r>
      <w:r w:rsidRPr="008E3BF7">
        <w:rPr>
          <w:rFonts w:ascii="Arial" w:hAnsi="Arial" w:cs="Arial"/>
          <w:color w:val="000000"/>
          <w:sz w:val="20"/>
          <w:szCs w:val="20"/>
          <w:shd w:val="clear" w:color="auto" w:fill="FFFFFF"/>
        </w:rPr>
        <w:t xml:space="preserve">. Benchmarking of methods based on </w:t>
      </w:r>
      <w:r w:rsidR="00E07D28" w:rsidRPr="008E3BF7">
        <w:rPr>
          <w:rFonts w:ascii="Arial" w:hAnsi="Arial" w:cs="Arial"/>
          <w:color w:val="000000"/>
          <w:sz w:val="20"/>
          <w:szCs w:val="20"/>
          <w:shd w:val="clear" w:color="auto" w:fill="FFFFFF"/>
        </w:rPr>
        <w:t>the number of time series where they outperformed competing methods</w:t>
      </w:r>
      <w:r w:rsidRPr="008E3BF7">
        <w:rPr>
          <w:rFonts w:ascii="Arial" w:hAnsi="Arial" w:cs="Arial"/>
          <w:color w:val="000000"/>
          <w:sz w:val="20"/>
          <w:szCs w:val="20"/>
          <w:shd w:val="clear" w:color="auto" w:fill="FFFFFF"/>
        </w:rPr>
        <w:t xml:space="preserve"> (January – </w:t>
      </w:r>
      <w:proofErr w:type="gramStart"/>
      <w:r w:rsidRPr="008E3BF7">
        <w:rPr>
          <w:rFonts w:ascii="Arial" w:hAnsi="Arial" w:cs="Arial"/>
          <w:color w:val="000000"/>
          <w:sz w:val="20"/>
          <w:szCs w:val="20"/>
          <w:shd w:val="clear" w:color="auto" w:fill="FFFFFF"/>
        </w:rPr>
        <w:t>December,</w:t>
      </w:r>
      <w:proofErr w:type="gramEnd"/>
      <w:r w:rsidRPr="008E3BF7">
        <w:rPr>
          <w:rFonts w:ascii="Arial" w:hAnsi="Arial" w:cs="Arial"/>
          <w:color w:val="000000"/>
          <w:sz w:val="20"/>
          <w:szCs w:val="20"/>
          <w:shd w:val="clear" w:color="auto" w:fill="FFFFFF"/>
        </w:rPr>
        <w:t xml:space="preserve"> 2019)</w:t>
      </w:r>
    </w:p>
    <w:tbl>
      <w:tblPr>
        <w:tblStyle w:val="TableGrid"/>
        <w:tblW w:w="8287" w:type="dxa"/>
        <w:tblLook w:val="04A0" w:firstRow="1" w:lastRow="0" w:firstColumn="1" w:lastColumn="0" w:noHBand="0" w:noVBand="1"/>
      </w:tblPr>
      <w:tblGrid>
        <w:gridCol w:w="3488"/>
        <w:gridCol w:w="2541"/>
        <w:gridCol w:w="2258"/>
      </w:tblGrid>
      <w:tr w:rsidR="009A3C2B" w:rsidRPr="008E3BF7" w14:paraId="52BBF523" w14:textId="6318FECA" w:rsidTr="009A3C2B">
        <w:trPr>
          <w:trHeight w:val="990"/>
        </w:trPr>
        <w:tc>
          <w:tcPr>
            <w:tcW w:w="3488" w:type="dxa"/>
          </w:tcPr>
          <w:p w14:paraId="3B26AF87" w14:textId="32466CFA"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Method</w:t>
            </w:r>
          </w:p>
        </w:tc>
        <w:tc>
          <w:tcPr>
            <w:tcW w:w="2541" w:type="dxa"/>
          </w:tcPr>
          <w:p w14:paraId="6E30D821" w14:textId="17B2CC1E"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Number of wins (by MAE)</w:t>
            </w:r>
          </w:p>
        </w:tc>
        <w:tc>
          <w:tcPr>
            <w:tcW w:w="2258" w:type="dxa"/>
          </w:tcPr>
          <w:p w14:paraId="62E05223" w14:textId="2C0B2EA0"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Number of wins (by MAPE)</w:t>
            </w:r>
          </w:p>
        </w:tc>
      </w:tr>
      <w:tr w:rsidR="009A3C2B" w:rsidRPr="008E3BF7" w14:paraId="1D41CB44" w14:textId="29C330BA" w:rsidTr="009A3C2B">
        <w:trPr>
          <w:trHeight w:val="326"/>
        </w:trPr>
        <w:tc>
          <w:tcPr>
            <w:tcW w:w="3488" w:type="dxa"/>
          </w:tcPr>
          <w:p w14:paraId="0FB81330" w14:textId="3DFB6631"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Auto</w:t>
            </w:r>
            <w:r w:rsidR="008C2BBE" w:rsidRPr="008E3BF7">
              <w:rPr>
                <w:rFonts w:ascii="Arial" w:hAnsi="Arial" w:cs="Arial"/>
                <w:b/>
                <w:bCs/>
                <w:color w:val="000000"/>
                <w:sz w:val="20"/>
                <w:szCs w:val="20"/>
                <w:shd w:val="clear" w:color="auto" w:fill="FFFFFF"/>
              </w:rPr>
              <w:t>mates Seasonal ARIMA</w:t>
            </w:r>
          </w:p>
        </w:tc>
        <w:tc>
          <w:tcPr>
            <w:tcW w:w="2541" w:type="dxa"/>
          </w:tcPr>
          <w:p w14:paraId="51CF4AA9" w14:textId="1CA8EABB"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27</w:t>
            </w:r>
          </w:p>
        </w:tc>
        <w:tc>
          <w:tcPr>
            <w:tcW w:w="2258" w:type="dxa"/>
          </w:tcPr>
          <w:p w14:paraId="18700A24" w14:textId="744F6263"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25</w:t>
            </w:r>
          </w:p>
        </w:tc>
      </w:tr>
      <w:tr w:rsidR="009A3C2B" w:rsidRPr="008E3BF7" w14:paraId="25F621C6" w14:textId="36CCACD0" w:rsidTr="009A3C2B">
        <w:trPr>
          <w:trHeight w:val="338"/>
        </w:trPr>
        <w:tc>
          <w:tcPr>
            <w:tcW w:w="3488" w:type="dxa"/>
          </w:tcPr>
          <w:p w14:paraId="001FAE6C" w14:textId="502ED7E0"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NNETAR</w:t>
            </w:r>
          </w:p>
        </w:tc>
        <w:tc>
          <w:tcPr>
            <w:tcW w:w="2541" w:type="dxa"/>
          </w:tcPr>
          <w:p w14:paraId="0CB8AD98" w14:textId="7BF917DD"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21</w:t>
            </w:r>
          </w:p>
        </w:tc>
        <w:tc>
          <w:tcPr>
            <w:tcW w:w="2258" w:type="dxa"/>
          </w:tcPr>
          <w:p w14:paraId="23E8684D" w14:textId="7F0AFA16"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23</w:t>
            </w:r>
          </w:p>
        </w:tc>
      </w:tr>
      <w:tr w:rsidR="009A3C2B" w:rsidRPr="008E3BF7" w14:paraId="682BEE51" w14:textId="3C7E0842" w:rsidTr="009A3C2B">
        <w:trPr>
          <w:trHeight w:val="326"/>
        </w:trPr>
        <w:tc>
          <w:tcPr>
            <w:tcW w:w="3488" w:type="dxa"/>
          </w:tcPr>
          <w:p w14:paraId="34E77DA4" w14:textId="5996A8E3"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ETS</w:t>
            </w:r>
          </w:p>
        </w:tc>
        <w:tc>
          <w:tcPr>
            <w:tcW w:w="2541" w:type="dxa"/>
          </w:tcPr>
          <w:p w14:paraId="3AB6E67E" w14:textId="384D08E2"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27</w:t>
            </w:r>
          </w:p>
        </w:tc>
        <w:tc>
          <w:tcPr>
            <w:tcW w:w="2258" w:type="dxa"/>
          </w:tcPr>
          <w:p w14:paraId="15B55288" w14:textId="689D35EE"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30</w:t>
            </w:r>
          </w:p>
        </w:tc>
      </w:tr>
      <w:tr w:rsidR="009A3C2B" w:rsidRPr="008E3BF7" w14:paraId="15D664B9" w14:textId="53A9E7FF" w:rsidTr="009A3C2B">
        <w:trPr>
          <w:trHeight w:val="338"/>
        </w:trPr>
        <w:tc>
          <w:tcPr>
            <w:tcW w:w="3488" w:type="dxa"/>
          </w:tcPr>
          <w:p w14:paraId="78627B21" w14:textId="1F1C3DA9"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Prophet</w:t>
            </w:r>
          </w:p>
        </w:tc>
        <w:tc>
          <w:tcPr>
            <w:tcW w:w="2541" w:type="dxa"/>
          </w:tcPr>
          <w:p w14:paraId="18D7AFDD" w14:textId="74D11091"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33</w:t>
            </w:r>
          </w:p>
        </w:tc>
        <w:tc>
          <w:tcPr>
            <w:tcW w:w="2258" w:type="dxa"/>
          </w:tcPr>
          <w:p w14:paraId="2582612B" w14:textId="39B39C02"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30</w:t>
            </w:r>
          </w:p>
        </w:tc>
      </w:tr>
      <w:tr w:rsidR="009A3C2B" w:rsidRPr="008E3BF7" w14:paraId="3DF3A436" w14:textId="77777777" w:rsidTr="009A3C2B">
        <w:trPr>
          <w:trHeight w:val="652"/>
        </w:trPr>
        <w:tc>
          <w:tcPr>
            <w:tcW w:w="3488" w:type="dxa"/>
          </w:tcPr>
          <w:p w14:paraId="4564C70B" w14:textId="29B6940D" w:rsidR="009A3C2B" w:rsidRPr="008E3BF7" w:rsidRDefault="009A3C2B" w:rsidP="00237322">
            <w:pPr>
              <w:jc w:val="both"/>
              <w:rPr>
                <w:rFonts w:ascii="Arial" w:hAnsi="Arial" w:cs="Arial"/>
                <w:b/>
                <w:bCs/>
                <w:color w:val="000000"/>
                <w:sz w:val="20"/>
                <w:szCs w:val="20"/>
                <w:shd w:val="clear" w:color="auto" w:fill="FFFFFF"/>
              </w:rPr>
            </w:pPr>
            <w:r w:rsidRPr="008E3BF7">
              <w:rPr>
                <w:rFonts w:ascii="Arial" w:hAnsi="Arial" w:cs="Arial"/>
                <w:b/>
                <w:bCs/>
                <w:color w:val="000000"/>
                <w:sz w:val="20"/>
                <w:szCs w:val="20"/>
                <w:shd w:val="clear" w:color="auto" w:fill="FFFFFF"/>
              </w:rPr>
              <w:t>Total number of time series</w:t>
            </w:r>
          </w:p>
        </w:tc>
        <w:tc>
          <w:tcPr>
            <w:tcW w:w="2541" w:type="dxa"/>
          </w:tcPr>
          <w:p w14:paraId="4634C896" w14:textId="42C24C4B"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108</w:t>
            </w:r>
          </w:p>
        </w:tc>
        <w:tc>
          <w:tcPr>
            <w:tcW w:w="2258" w:type="dxa"/>
          </w:tcPr>
          <w:p w14:paraId="7200094B" w14:textId="4EB0AC3F" w:rsidR="009A3C2B" w:rsidRPr="008E3BF7" w:rsidRDefault="009A3C2B" w:rsidP="00237322">
            <w:pPr>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108</w:t>
            </w:r>
          </w:p>
        </w:tc>
      </w:tr>
    </w:tbl>
    <w:p w14:paraId="4760C6EC" w14:textId="77777777" w:rsidR="009C1091" w:rsidRPr="008E3BF7" w:rsidRDefault="009C1091" w:rsidP="00237322">
      <w:pPr>
        <w:spacing w:after="0" w:line="240" w:lineRule="auto"/>
        <w:ind w:firstLine="720"/>
        <w:jc w:val="both"/>
        <w:rPr>
          <w:rFonts w:ascii="Arial" w:hAnsi="Arial" w:cs="Arial"/>
          <w:color w:val="000000"/>
          <w:sz w:val="20"/>
          <w:szCs w:val="20"/>
          <w:shd w:val="clear" w:color="auto" w:fill="FFFFFF"/>
        </w:rPr>
      </w:pPr>
    </w:p>
    <w:p w14:paraId="6E000366" w14:textId="20C0B860" w:rsidR="00E440C8" w:rsidRPr="008E3BF7" w:rsidRDefault="0019111A"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It turned out that, while all models are competitive, Prophet and ETS</w:t>
      </w:r>
      <w:r w:rsidR="00E07D28" w:rsidRPr="008E3BF7">
        <w:rPr>
          <w:rFonts w:ascii="Arial" w:hAnsi="Arial" w:cs="Arial"/>
          <w:color w:val="000000"/>
          <w:sz w:val="20"/>
          <w:szCs w:val="20"/>
          <w:shd w:val="clear" w:color="auto" w:fill="FFFFFF"/>
        </w:rPr>
        <w:t xml:space="preserve"> </w:t>
      </w:r>
      <w:r w:rsidRPr="008E3BF7">
        <w:rPr>
          <w:rFonts w:ascii="Arial" w:hAnsi="Arial" w:cs="Arial"/>
          <w:color w:val="000000"/>
          <w:sz w:val="20"/>
          <w:szCs w:val="20"/>
          <w:shd w:val="clear" w:color="auto" w:fill="FFFFFF"/>
        </w:rPr>
        <w:t xml:space="preserve">were the winners in terms of MAPE more often than others. </w:t>
      </w:r>
      <w:r w:rsidR="00E07D28" w:rsidRPr="008E3BF7">
        <w:rPr>
          <w:rFonts w:ascii="Arial" w:hAnsi="Arial" w:cs="Arial"/>
          <w:color w:val="000000"/>
          <w:sz w:val="20"/>
          <w:szCs w:val="20"/>
          <w:shd w:val="clear" w:color="auto" w:fill="FFFFFF"/>
        </w:rPr>
        <w:t>The s</w:t>
      </w:r>
      <w:r w:rsidRPr="008E3BF7">
        <w:rPr>
          <w:rFonts w:ascii="Arial" w:hAnsi="Arial" w:cs="Arial"/>
          <w:color w:val="000000"/>
          <w:sz w:val="20"/>
          <w:szCs w:val="20"/>
          <w:shd w:val="clear" w:color="auto" w:fill="FFFFFF"/>
        </w:rPr>
        <w:t>imilar</w:t>
      </w:r>
      <w:r w:rsidR="00E07D28" w:rsidRPr="008E3BF7">
        <w:rPr>
          <w:rFonts w:ascii="Arial" w:hAnsi="Arial" w:cs="Arial"/>
          <w:color w:val="000000"/>
          <w:sz w:val="20"/>
          <w:szCs w:val="20"/>
          <w:shd w:val="clear" w:color="auto" w:fill="FFFFFF"/>
        </w:rPr>
        <w:t>ity of</w:t>
      </w:r>
      <w:r w:rsidRPr="008E3BF7">
        <w:rPr>
          <w:rFonts w:ascii="Arial" w:hAnsi="Arial" w:cs="Arial"/>
          <w:color w:val="000000"/>
          <w:sz w:val="20"/>
          <w:szCs w:val="20"/>
          <w:shd w:val="clear" w:color="auto" w:fill="FFFFFF"/>
        </w:rPr>
        <w:t xml:space="preserve"> MAPEs between </w:t>
      </w:r>
      <w:r w:rsidR="00E07D28" w:rsidRPr="008E3BF7">
        <w:rPr>
          <w:rFonts w:ascii="Arial" w:hAnsi="Arial" w:cs="Arial"/>
          <w:color w:val="000000"/>
          <w:sz w:val="20"/>
          <w:szCs w:val="20"/>
          <w:shd w:val="clear" w:color="auto" w:fill="FFFFFF"/>
        </w:rPr>
        <w:t xml:space="preserve">the </w:t>
      </w:r>
      <w:r w:rsidRPr="008E3BF7">
        <w:rPr>
          <w:rFonts w:ascii="Arial" w:hAnsi="Arial" w:cs="Arial"/>
          <w:color w:val="000000"/>
          <w:sz w:val="20"/>
          <w:szCs w:val="20"/>
          <w:shd w:val="clear" w:color="auto" w:fill="FFFFFF"/>
        </w:rPr>
        <w:t xml:space="preserve">Prophet and </w:t>
      </w:r>
      <w:r w:rsidR="00E07D28" w:rsidRPr="008E3BF7">
        <w:rPr>
          <w:rFonts w:ascii="Arial" w:hAnsi="Arial" w:cs="Arial"/>
          <w:color w:val="000000"/>
          <w:sz w:val="20"/>
          <w:szCs w:val="20"/>
          <w:shd w:val="clear" w:color="auto" w:fill="FFFFFF"/>
        </w:rPr>
        <w:t xml:space="preserve">the </w:t>
      </w:r>
      <w:r w:rsidRPr="008E3BF7">
        <w:rPr>
          <w:rFonts w:ascii="Arial" w:hAnsi="Arial" w:cs="Arial"/>
          <w:color w:val="000000"/>
          <w:sz w:val="20"/>
          <w:szCs w:val="20"/>
          <w:shd w:val="clear" w:color="auto" w:fill="FFFFFF"/>
        </w:rPr>
        <w:t xml:space="preserve">ETS procedures were also observed in Taylor and </w:t>
      </w:r>
      <w:proofErr w:type="spellStart"/>
      <w:r w:rsidRPr="008E3BF7">
        <w:rPr>
          <w:rFonts w:ascii="Arial" w:hAnsi="Arial" w:cs="Arial"/>
          <w:color w:val="000000"/>
          <w:sz w:val="20"/>
          <w:szCs w:val="20"/>
          <w:shd w:val="clear" w:color="auto" w:fill="FFFFFF"/>
        </w:rPr>
        <w:t>Letham</w:t>
      </w:r>
      <w:proofErr w:type="spellEnd"/>
      <w:r w:rsidRPr="008E3BF7">
        <w:rPr>
          <w:rFonts w:ascii="Arial" w:hAnsi="Arial" w:cs="Arial"/>
          <w:color w:val="000000"/>
          <w:sz w:val="20"/>
          <w:szCs w:val="20"/>
          <w:shd w:val="clear" w:color="auto" w:fill="FFFFFF"/>
        </w:rPr>
        <w:t xml:space="preserve"> </w:t>
      </w:r>
      <w:r w:rsidR="009C1091" w:rsidRPr="008E3BF7">
        <w:rPr>
          <w:rFonts w:ascii="Arial" w:hAnsi="Arial" w:cs="Arial"/>
          <w:color w:val="000000"/>
          <w:sz w:val="20"/>
          <w:szCs w:val="20"/>
          <w:shd w:val="clear" w:color="auto" w:fill="FFFFFF"/>
        </w:rPr>
        <w:fldChar w:fldCharType="begin" w:fldLock="1"/>
      </w:r>
      <w:r w:rsidR="009D37F8" w:rsidRPr="008E3BF7">
        <w:rPr>
          <w:rFonts w:ascii="Arial" w:hAnsi="Arial" w:cs="Arial"/>
          <w:color w:val="000000"/>
          <w:sz w:val="20"/>
          <w:szCs w:val="20"/>
          <w:shd w:val="clear" w:color="auto" w:fill="FFFFFF"/>
        </w:rPr>
        <w:instrText>ADDIN CSL_CITATION {"citationItems":[{"id":"ITEM-1","itemData":{"author":[{"dropping-particle":"","family":"Taylor","given":"Sean J","non-dropping-particle":"","parse-names":false,"suffix":""},{"dropping-particle":"","family":"Letham","given":"Benjamin","non-dropping-particle":"","parse-names":false,"suffix":""}],"container-title":"The American Statistician","id":"ITEM-1","issue":"1","issued":{"date-parts":[["2018"]]},"page":"37-45","publisher":"Taylor &amp; Francis","title":"Forecasting at scale","type":"article-journal","volume":"72"},"uris":["http://www.mendeley.com/documents/?uuid=3f82f40c-b33d-49b4-9ae0-18473fa8c463"]}],"mendeley":{"formattedCitation":"(Taylor and Letham, 2018)","manualFormatting":"(2018)","plainTextFormattedCitation":"(Taylor and Letham, 2018)","previouslyFormattedCitation":"(Taylor and Letham, 2018)"},"properties":{"noteIndex":0},"schema":"https://github.com/citation-style-language/schema/raw/master/csl-citation.json"}</w:instrText>
      </w:r>
      <w:r w:rsidR="009C1091" w:rsidRPr="008E3BF7">
        <w:rPr>
          <w:rFonts w:ascii="Arial" w:hAnsi="Arial" w:cs="Arial"/>
          <w:color w:val="000000"/>
          <w:sz w:val="20"/>
          <w:szCs w:val="20"/>
          <w:shd w:val="clear" w:color="auto" w:fill="FFFFFF"/>
        </w:rPr>
        <w:fldChar w:fldCharType="separate"/>
      </w:r>
      <w:r w:rsidR="009C1091" w:rsidRPr="008E3BF7">
        <w:rPr>
          <w:rFonts w:ascii="Arial" w:hAnsi="Arial" w:cs="Arial"/>
          <w:noProof/>
          <w:color w:val="000000"/>
          <w:sz w:val="20"/>
          <w:szCs w:val="20"/>
          <w:shd w:val="clear" w:color="auto" w:fill="FFFFFF"/>
        </w:rPr>
        <w:t>(2018)</w:t>
      </w:r>
      <w:r w:rsidR="009C1091" w:rsidRPr="008E3BF7">
        <w:rPr>
          <w:rFonts w:ascii="Arial" w:hAnsi="Arial" w:cs="Arial"/>
          <w:color w:val="000000"/>
          <w:sz w:val="20"/>
          <w:szCs w:val="20"/>
          <w:shd w:val="clear" w:color="auto" w:fill="FFFFFF"/>
        </w:rPr>
        <w:fldChar w:fldCharType="end"/>
      </w:r>
      <w:r w:rsidR="009C1091" w:rsidRPr="008E3BF7">
        <w:rPr>
          <w:rFonts w:ascii="Arial" w:hAnsi="Arial" w:cs="Arial"/>
          <w:color w:val="000000"/>
          <w:sz w:val="20"/>
          <w:szCs w:val="20"/>
          <w:shd w:val="clear" w:color="auto" w:fill="FFFFFF"/>
        </w:rPr>
        <w:t>.</w:t>
      </w:r>
      <w:r w:rsidRPr="008E3BF7">
        <w:rPr>
          <w:rFonts w:ascii="Arial" w:hAnsi="Arial" w:cs="Arial"/>
          <w:color w:val="000000"/>
          <w:sz w:val="20"/>
          <w:szCs w:val="20"/>
          <w:shd w:val="clear" w:color="auto" w:fill="FFFFFF"/>
        </w:rPr>
        <w:t xml:space="preserve"> </w:t>
      </w:r>
      <w:r w:rsidR="00044A3F" w:rsidRPr="008E3BF7">
        <w:rPr>
          <w:rFonts w:ascii="Arial" w:hAnsi="Arial" w:cs="Arial"/>
          <w:color w:val="000000"/>
          <w:sz w:val="20"/>
          <w:szCs w:val="20"/>
          <w:shd w:val="clear" w:color="auto" w:fill="FFFFFF"/>
        </w:rPr>
        <w:t>It has also been checked that the percentage of time series, where the MAPE is less than 5% and less than 10% is the highest for Prophet (3</w:t>
      </w:r>
      <w:r w:rsidR="009A3C2B" w:rsidRPr="008E3BF7">
        <w:rPr>
          <w:rFonts w:ascii="Arial" w:hAnsi="Arial" w:cs="Arial"/>
          <w:color w:val="000000"/>
          <w:sz w:val="20"/>
          <w:szCs w:val="20"/>
          <w:shd w:val="clear" w:color="auto" w:fill="FFFFFF"/>
        </w:rPr>
        <w:t>1</w:t>
      </w:r>
      <w:r w:rsidR="00044A3F" w:rsidRPr="008E3BF7">
        <w:rPr>
          <w:rFonts w:ascii="Arial" w:hAnsi="Arial" w:cs="Arial"/>
          <w:color w:val="000000"/>
          <w:sz w:val="20"/>
          <w:szCs w:val="20"/>
          <w:shd w:val="clear" w:color="auto" w:fill="FFFFFF"/>
        </w:rPr>
        <w:t>% and 57% of series, respectively).</w:t>
      </w:r>
    </w:p>
    <w:p w14:paraId="4C36D508" w14:textId="37222472" w:rsidR="00582B0B" w:rsidRPr="008E3BF7" w:rsidRDefault="00582B0B"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Besides using </w:t>
      </w:r>
      <w:r w:rsidR="009C1091" w:rsidRPr="008E3BF7">
        <w:rPr>
          <w:rFonts w:ascii="Arial" w:hAnsi="Arial" w:cs="Arial"/>
          <w:color w:val="000000"/>
          <w:sz w:val="20"/>
          <w:szCs w:val="20"/>
          <w:shd w:val="clear" w:color="auto" w:fill="FFFFFF"/>
        </w:rPr>
        <w:t xml:space="preserve">the </w:t>
      </w:r>
      <w:r w:rsidRPr="008E3BF7">
        <w:rPr>
          <w:rFonts w:ascii="Arial" w:hAnsi="Arial" w:cs="Arial"/>
          <w:color w:val="000000"/>
          <w:sz w:val="20"/>
          <w:szCs w:val="20"/>
          <w:shd w:val="clear" w:color="auto" w:fill="FFFFFF"/>
        </w:rPr>
        <w:t>formal model selection criteria</w:t>
      </w:r>
      <w:r w:rsidR="009C1091" w:rsidRPr="008E3BF7">
        <w:rPr>
          <w:rFonts w:ascii="Arial" w:hAnsi="Arial" w:cs="Arial"/>
          <w:color w:val="000000"/>
          <w:sz w:val="20"/>
          <w:szCs w:val="20"/>
          <w:shd w:val="clear" w:color="auto" w:fill="FFFFFF"/>
        </w:rPr>
        <w:t xml:space="preserve"> presented above</w:t>
      </w:r>
      <w:r w:rsidRPr="008E3BF7">
        <w:rPr>
          <w:rFonts w:ascii="Arial" w:hAnsi="Arial" w:cs="Arial"/>
          <w:color w:val="000000"/>
          <w:sz w:val="20"/>
          <w:szCs w:val="20"/>
          <w:shd w:val="clear" w:color="auto" w:fill="FFFFFF"/>
        </w:rPr>
        <w:t xml:space="preserve">, our </w:t>
      </w:r>
      <w:r w:rsidR="009C1091" w:rsidRPr="008E3BF7">
        <w:rPr>
          <w:rFonts w:ascii="Arial" w:hAnsi="Arial" w:cs="Arial"/>
          <w:color w:val="000000"/>
          <w:sz w:val="20"/>
          <w:szCs w:val="20"/>
          <w:shd w:val="clear" w:color="auto" w:fill="FFFFFF"/>
        </w:rPr>
        <w:t xml:space="preserve">final </w:t>
      </w:r>
      <w:r w:rsidRPr="008E3BF7">
        <w:rPr>
          <w:rFonts w:ascii="Arial" w:hAnsi="Arial" w:cs="Arial"/>
          <w:color w:val="000000"/>
          <w:sz w:val="20"/>
          <w:szCs w:val="20"/>
          <w:shd w:val="clear" w:color="auto" w:fill="FFFFFF"/>
        </w:rPr>
        <w:t xml:space="preserve">choice of the method was based on </w:t>
      </w:r>
      <w:r w:rsidR="00044A3F" w:rsidRPr="008E3BF7">
        <w:rPr>
          <w:rFonts w:ascii="Arial" w:hAnsi="Arial" w:cs="Arial"/>
          <w:color w:val="000000"/>
          <w:sz w:val="20"/>
          <w:szCs w:val="20"/>
          <w:shd w:val="clear" w:color="auto" w:fill="FFFFFF"/>
        </w:rPr>
        <w:t>taking a closer look at</w:t>
      </w:r>
      <w:r w:rsidRPr="008E3BF7">
        <w:rPr>
          <w:rFonts w:ascii="Arial" w:hAnsi="Arial" w:cs="Arial"/>
          <w:color w:val="000000"/>
          <w:sz w:val="20"/>
          <w:szCs w:val="20"/>
          <w:shd w:val="clear" w:color="auto" w:fill="FFFFFF"/>
        </w:rPr>
        <w:t xml:space="preserve"> </w:t>
      </w:r>
      <w:r w:rsidR="00000A31" w:rsidRPr="008E3BF7">
        <w:rPr>
          <w:rFonts w:ascii="Arial" w:hAnsi="Arial" w:cs="Arial"/>
          <w:color w:val="000000"/>
          <w:sz w:val="20"/>
          <w:szCs w:val="20"/>
          <w:shd w:val="clear" w:color="auto" w:fill="FFFFFF"/>
        </w:rPr>
        <w:t>several</w:t>
      </w:r>
      <w:r w:rsidRPr="008E3BF7">
        <w:rPr>
          <w:rFonts w:ascii="Arial" w:hAnsi="Arial" w:cs="Arial"/>
          <w:color w:val="000000"/>
          <w:sz w:val="20"/>
          <w:szCs w:val="20"/>
          <w:shd w:val="clear" w:color="auto" w:fill="FFFFFF"/>
        </w:rPr>
        <w:t xml:space="preserve"> cases. ETS turned out to be not </w:t>
      </w:r>
      <w:r w:rsidR="009C1091" w:rsidRPr="008E3BF7">
        <w:rPr>
          <w:rFonts w:ascii="Arial" w:hAnsi="Arial" w:cs="Arial"/>
          <w:color w:val="000000"/>
          <w:sz w:val="20"/>
          <w:szCs w:val="20"/>
          <w:shd w:val="clear" w:color="auto" w:fill="FFFFFF"/>
        </w:rPr>
        <w:t xml:space="preserve">particularly </w:t>
      </w:r>
      <w:r w:rsidRPr="008E3BF7">
        <w:rPr>
          <w:rFonts w:ascii="Arial" w:hAnsi="Arial" w:cs="Arial"/>
          <w:color w:val="000000"/>
          <w:sz w:val="20"/>
          <w:szCs w:val="20"/>
          <w:shd w:val="clear" w:color="auto" w:fill="FFFFFF"/>
        </w:rPr>
        <w:t xml:space="preserve">well-suited for automated forecasting because of its </w:t>
      </w:r>
      <w:r w:rsidR="00044A3F" w:rsidRPr="008E3BF7">
        <w:rPr>
          <w:rFonts w:ascii="Arial" w:hAnsi="Arial" w:cs="Arial"/>
          <w:color w:val="000000"/>
          <w:sz w:val="20"/>
          <w:szCs w:val="20"/>
          <w:shd w:val="clear" w:color="auto" w:fill="FFFFFF"/>
        </w:rPr>
        <w:t xml:space="preserve">revealed </w:t>
      </w:r>
      <w:r w:rsidR="000F0012" w:rsidRPr="008E3BF7">
        <w:rPr>
          <w:rFonts w:ascii="Arial" w:hAnsi="Arial" w:cs="Arial"/>
          <w:color w:val="000000"/>
          <w:sz w:val="20"/>
          <w:szCs w:val="20"/>
          <w:shd w:val="clear" w:color="auto" w:fill="FFFFFF"/>
        </w:rPr>
        <w:t xml:space="preserve">propensity to bias predictions </w:t>
      </w:r>
      <w:r w:rsidR="00D36B57" w:rsidRPr="008E3BF7">
        <w:rPr>
          <w:rFonts w:ascii="Arial" w:hAnsi="Arial" w:cs="Arial"/>
          <w:color w:val="000000"/>
          <w:sz w:val="20"/>
          <w:szCs w:val="20"/>
          <w:shd w:val="clear" w:color="auto" w:fill="FFFFFF"/>
        </w:rPr>
        <w:t>because of overfitting weak non-linear trends</w:t>
      </w:r>
      <w:r w:rsidRPr="008E3BF7">
        <w:rPr>
          <w:rFonts w:ascii="Arial" w:hAnsi="Arial" w:cs="Arial"/>
          <w:color w:val="000000"/>
          <w:sz w:val="20"/>
          <w:szCs w:val="20"/>
          <w:shd w:val="clear" w:color="auto" w:fill="FFFFFF"/>
        </w:rPr>
        <w:t xml:space="preserve">. While having performed well in forecasting for 2019, it gave a clearly unrealistic 2020 baseline forecast for some series, such as </w:t>
      </w:r>
      <w:proofErr w:type="spellStart"/>
      <w:r w:rsidRPr="008E3BF7">
        <w:rPr>
          <w:rFonts w:ascii="Arial" w:hAnsi="Arial" w:cs="Arial"/>
          <w:i/>
          <w:iCs/>
          <w:color w:val="000000"/>
          <w:sz w:val="20"/>
          <w:szCs w:val="20"/>
          <w:shd w:val="clear" w:color="auto" w:fill="FFFFFF"/>
        </w:rPr>
        <w:t>croatia_camping_for</w:t>
      </w:r>
      <w:proofErr w:type="spellEnd"/>
      <w:r w:rsidR="00B42E25" w:rsidRPr="008E3BF7">
        <w:rPr>
          <w:rFonts w:ascii="Arial" w:hAnsi="Arial" w:cs="Arial"/>
          <w:color w:val="000000"/>
          <w:sz w:val="20"/>
          <w:szCs w:val="20"/>
          <w:shd w:val="clear" w:color="auto" w:fill="FFFFFF"/>
        </w:rPr>
        <w:t xml:space="preserve"> (Figure 1). </w:t>
      </w:r>
      <w:r w:rsidR="00D36B57" w:rsidRPr="008E3BF7">
        <w:rPr>
          <w:rFonts w:ascii="Arial" w:hAnsi="Arial" w:cs="Arial"/>
          <w:color w:val="000000"/>
          <w:sz w:val="20"/>
          <w:szCs w:val="20"/>
          <w:shd w:val="clear" w:color="auto" w:fill="FFFFFF"/>
        </w:rPr>
        <w:t xml:space="preserve">Even though it is possible to tweak the ETS algorithm manually to </w:t>
      </w:r>
      <w:r w:rsidR="00B42E25" w:rsidRPr="008E3BF7">
        <w:rPr>
          <w:rFonts w:ascii="Arial" w:hAnsi="Arial" w:cs="Arial"/>
          <w:color w:val="000000"/>
          <w:sz w:val="20"/>
          <w:szCs w:val="20"/>
          <w:shd w:val="clear" w:color="auto" w:fill="FFFFFF"/>
        </w:rPr>
        <w:t xml:space="preserve"> </w:t>
      </w:r>
      <w:r w:rsidR="00D36B57" w:rsidRPr="008E3BF7">
        <w:rPr>
          <w:rFonts w:ascii="Arial" w:hAnsi="Arial" w:cs="Arial"/>
          <w:color w:val="000000"/>
          <w:sz w:val="20"/>
          <w:szCs w:val="20"/>
          <w:shd w:val="clear" w:color="auto" w:fill="FFFFFF"/>
        </w:rPr>
        <w:t>fix the identified problem</w:t>
      </w:r>
      <w:r w:rsidR="00B42E25" w:rsidRPr="008E3BF7">
        <w:rPr>
          <w:rFonts w:ascii="Arial" w:hAnsi="Arial" w:cs="Arial"/>
          <w:color w:val="000000"/>
          <w:sz w:val="20"/>
          <w:szCs w:val="20"/>
          <w:shd w:val="clear" w:color="auto" w:fill="FFFFFF"/>
        </w:rPr>
        <w:t xml:space="preserve"> </w:t>
      </w:r>
      <w:r w:rsidR="00D36B57" w:rsidRPr="008E3BF7">
        <w:rPr>
          <w:rFonts w:ascii="Arial" w:hAnsi="Arial" w:cs="Arial"/>
          <w:color w:val="000000"/>
          <w:sz w:val="20"/>
          <w:szCs w:val="20"/>
          <w:shd w:val="clear" w:color="auto" w:fill="FFFFFF"/>
        </w:rPr>
        <w:t xml:space="preserve">by using </w:t>
      </w:r>
      <w:r w:rsidR="009C1091" w:rsidRPr="008E3BF7">
        <w:rPr>
          <w:rFonts w:ascii="Arial" w:hAnsi="Arial" w:cs="Arial"/>
          <w:color w:val="000000"/>
          <w:sz w:val="20"/>
          <w:szCs w:val="20"/>
          <w:shd w:val="clear" w:color="auto" w:fill="FFFFFF"/>
        </w:rPr>
        <w:t xml:space="preserve">the </w:t>
      </w:r>
      <w:r w:rsidR="00D36B57" w:rsidRPr="008E3BF7">
        <w:rPr>
          <w:rFonts w:ascii="Arial" w:hAnsi="Arial" w:cs="Arial"/>
          <w:color w:val="000000"/>
          <w:sz w:val="20"/>
          <w:szCs w:val="20"/>
          <w:shd w:val="clear" w:color="auto" w:fill="FFFFFF"/>
        </w:rPr>
        <w:t xml:space="preserve">additive </w:t>
      </w:r>
      <w:r w:rsidR="006C2C7E" w:rsidRPr="008E3BF7">
        <w:rPr>
          <w:rFonts w:ascii="Arial" w:hAnsi="Arial" w:cs="Arial"/>
          <w:color w:val="000000"/>
          <w:sz w:val="20"/>
          <w:szCs w:val="20"/>
          <w:shd w:val="clear" w:color="auto" w:fill="FFFFFF"/>
        </w:rPr>
        <w:t>rather than the automatically selected multiplicative seasonality</w:t>
      </w:r>
      <w:r w:rsidR="00D36B57" w:rsidRPr="008E3BF7">
        <w:rPr>
          <w:rFonts w:ascii="Arial" w:hAnsi="Arial" w:cs="Arial"/>
          <w:color w:val="000000"/>
          <w:sz w:val="20"/>
          <w:szCs w:val="20"/>
          <w:shd w:val="clear" w:color="auto" w:fill="FFFFFF"/>
        </w:rPr>
        <w:t xml:space="preserve"> or by changing some model parameters, </w:t>
      </w:r>
      <w:r w:rsidR="00B42E25" w:rsidRPr="008E3BF7">
        <w:rPr>
          <w:rFonts w:ascii="Arial" w:hAnsi="Arial" w:cs="Arial"/>
          <w:color w:val="000000"/>
          <w:sz w:val="20"/>
          <w:szCs w:val="20"/>
          <w:shd w:val="clear" w:color="auto" w:fill="FFFFFF"/>
        </w:rPr>
        <w:t>Prophet</w:t>
      </w:r>
      <w:r w:rsidR="000C2694" w:rsidRPr="008E3BF7">
        <w:rPr>
          <w:rFonts w:ascii="Arial" w:hAnsi="Arial" w:cs="Arial"/>
          <w:color w:val="000000"/>
          <w:sz w:val="20"/>
          <w:szCs w:val="20"/>
          <w:shd w:val="clear" w:color="auto" w:fill="FFFFFF"/>
        </w:rPr>
        <w:t>’s default setting</w:t>
      </w:r>
      <w:r w:rsidR="00D36B57" w:rsidRPr="008E3BF7">
        <w:rPr>
          <w:rFonts w:ascii="Arial" w:hAnsi="Arial" w:cs="Arial"/>
          <w:color w:val="000000"/>
          <w:sz w:val="20"/>
          <w:szCs w:val="20"/>
          <w:shd w:val="clear" w:color="auto" w:fill="FFFFFF"/>
        </w:rPr>
        <w:t xml:space="preserve">s </w:t>
      </w:r>
      <w:r w:rsidR="00B42E25" w:rsidRPr="008E3BF7">
        <w:rPr>
          <w:rFonts w:ascii="Arial" w:hAnsi="Arial" w:cs="Arial"/>
          <w:color w:val="000000"/>
          <w:sz w:val="20"/>
          <w:szCs w:val="20"/>
          <w:shd w:val="clear" w:color="auto" w:fill="FFFFFF"/>
        </w:rPr>
        <w:t xml:space="preserve">consistently </w:t>
      </w:r>
      <w:r w:rsidR="000C2694" w:rsidRPr="008E3BF7">
        <w:rPr>
          <w:rFonts w:ascii="Arial" w:hAnsi="Arial" w:cs="Arial"/>
          <w:color w:val="000000"/>
          <w:sz w:val="20"/>
          <w:szCs w:val="20"/>
          <w:shd w:val="clear" w:color="auto" w:fill="FFFFFF"/>
        </w:rPr>
        <w:t>ensure</w:t>
      </w:r>
      <w:r w:rsidR="006C2C7E" w:rsidRPr="008E3BF7">
        <w:rPr>
          <w:rFonts w:ascii="Arial" w:hAnsi="Arial" w:cs="Arial"/>
          <w:color w:val="000000"/>
          <w:sz w:val="20"/>
          <w:szCs w:val="20"/>
          <w:shd w:val="clear" w:color="auto" w:fill="FFFFFF"/>
        </w:rPr>
        <w:t>d</w:t>
      </w:r>
      <w:r w:rsidR="00B42E25" w:rsidRPr="008E3BF7">
        <w:rPr>
          <w:rFonts w:ascii="Arial" w:hAnsi="Arial" w:cs="Arial"/>
          <w:color w:val="000000"/>
          <w:sz w:val="20"/>
          <w:szCs w:val="20"/>
          <w:shd w:val="clear" w:color="auto" w:fill="FFFFFF"/>
        </w:rPr>
        <w:t xml:space="preserve"> sensible forecasts</w:t>
      </w:r>
      <w:r w:rsidR="00D36B57" w:rsidRPr="008E3BF7">
        <w:rPr>
          <w:rFonts w:ascii="Arial" w:hAnsi="Arial" w:cs="Arial"/>
          <w:color w:val="000000"/>
          <w:sz w:val="20"/>
          <w:szCs w:val="20"/>
          <w:shd w:val="clear" w:color="auto" w:fill="FFFFFF"/>
        </w:rPr>
        <w:t>, making it a preferable method for large-scale forecasting of many time series</w:t>
      </w:r>
      <w:r w:rsidR="000C2694" w:rsidRPr="008E3BF7">
        <w:rPr>
          <w:rFonts w:ascii="Arial" w:hAnsi="Arial" w:cs="Arial"/>
          <w:color w:val="000000"/>
          <w:sz w:val="20"/>
          <w:szCs w:val="20"/>
          <w:shd w:val="clear" w:color="auto" w:fill="FFFFFF"/>
        </w:rPr>
        <w:t>.</w:t>
      </w:r>
    </w:p>
    <w:p w14:paraId="717395C2" w14:textId="7811A08E" w:rsidR="004C72B8" w:rsidRPr="008E3BF7" w:rsidRDefault="001101AA" w:rsidP="008E3BF7">
      <w:pPr>
        <w:spacing w:after="0" w:line="240" w:lineRule="auto"/>
        <w:jc w:val="center"/>
        <w:rPr>
          <w:rFonts w:ascii="Arial" w:hAnsi="Arial" w:cs="Arial"/>
          <w:color w:val="000000"/>
          <w:sz w:val="20"/>
          <w:szCs w:val="20"/>
          <w:shd w:val="clear" w:color="auto" w:fill="FFFFFF"/>
        </w:rPr>
      </w:pPr>
      <w:r w:rsidRPr="008E3BF7">
        <w:rPr>
          <w:rFonts w:ascii="Arial" w:hAnsi="Arial" w:cs="Arial"/>
          <w:noProof/>
          <w:sz w:val="18"/>
          <w:szCs w:val="18"/>
        </w:rPr>
        <w:lastRenderedPageBreak/>
        <w:drawing>
          <wp:inline distT="0" distB="0" distL="0" distR="0" wp14:anchorId="57495A3A" wp14:editId="4073F1E3">
            <wp:extent cx="4305300" cy="2656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4376" cy="2668758"/>
                    </a:xfrm>
                    <a:prstGeom prst="rect">
                      <a:avLst/>
                    </a:prstGeom>
                  </pic:spPr>
                </pic:pic>
              </a:graphicData>
            </a:graphic>
          </wp:inline>
        </w:drawing>
      </w:r>
    </w:p>
    <w:p w14:paraId="6CECA927" w14:textId="77BB6574" w:rsidR="000F0012" w:rsidRPr="008E3BF7" w:rsidRDefault="000F0012" w:rsidP="008E3BF7">
      <w:pPr>
        <w:spacing w:after="0" w:line="240" w:lineRule="auto"/>
        <w:jc w:val="center"/>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Figure </w:t>
      </w:r>
      <w:r w:rsidR="00D36B57" w:rsidRPr="008E3BF7">
        <w:rPr>
          <w:rFonts w:ascii="Arial" w:hAnsi="Arial" w:cs="Arial"/>
          <w:color w:val="000000"/>
          <w:sz w:val="20"/>
          <w:szCs w:val="20"/>
          <w:shd w:val="clear" w:color="auto" w:fill="FFFFFF"/>
        </w:rPr>
        <w:t>1</w:t>
      </w:r>
      <w:r w:rsidRPr="008E3BF7">
        <w:rPr>
          <w:rFonts w:ascii="Arial" w:hAnsi="Arial" w:cs="Arial"/>
          <w:color w:val="000000"/>
          <w:sz w:val="20"/>
          <w:szCs w:val="20"/>
          <w:shd w:val="clear" w:color="auto" w:fill="FFFFFF"/>
        </w:rPr>
        <w:t xml:space="preserve">. Nights spent by foreign visitors </w:t>
      </w:r>
      <w:r w:rsidR="000C6F7A" w:rsidRPr="008E3BF7">
        <w:rPr>
          <w:rFonts w:ascii="Arial" w:hAnsi="Arial" w:cs="Arial"/>
          <w:color w:val="000000"/>
          <w:sz w:val="20"/>
          <w:szCs w:val="20"/>
          <w:shd w:val="clear" w:color="auto" w:fill="FFFFFF"/>
        </w:rPr>
        <w:t>in</w:t>
      </w:r>
      <w:r w:rsidRPr="008E3BF7">
        <w:rPr>
          <w:rFonts w:ascii="Arial" w:hAnsi="Arial" w:cs="Arial"/>
          <w:color w:val="000000"/>
          <w:sz w:val="20"/>
          <w:szCs w:val="20"/>
          <w:shd w:val="clear" w:color="auto" w:fill="FFFFFF"/>
        </w:rPr>
        <w:t xml:space="preserve"> Croatian camping grounds, recreational vehicle parks and trailer parks: </w:t>
      </w:r>
      <w:r w:rsidR="00D44548" w:rsidRPr="008E3BF7">
        <w:rPr>
          <w:rFonts w:ascii="Arial" w:hAnsi="Arial" w:cs="Arial"/>
          <w:color w:val="000000"/>
          <w:sz w:val="20"/>
          <w:szCs w:val="20"/>
          <w:shd w:val="clear" w:color="auto" w:fill="FFFFFF"/>
        </w:rPr>
        <w:t xml:space="preserve">observed (Jan 2012-Dec 2020) and </w:t>
      </w:r>
      <w:r w:rsidR="000C543B" w:rsidRPr="008E3BF7">
        <w:rPr>
          <w:rFonts w:ascii="Arial" w:hAnsi="Arial" w:cs="Arial"/>
          <w:color w:val="000000"/>
          <w:sz w:val="20"/>
          <w:szCs w:val="20"/>
          <w:shd w:val="clear" w:color="auto" w:fill="FFFFFF"/>
        </w:rPr>
        <w:t xml:space="preserve">incorrectly </w:t>
      </w:r>
      <w:r w:rsidR="00D44548" w:rsidRPr="008E3BF7">
        <w:rPr>
          <w:rFonts w:ascii="Arial" w:hAnsi="Arial" w:cs="Arial"/>
          <w:color w:val="000000"/>
          <w:sz w:val="20"/>
          <w:szCs w:val="20"/>
          <w:shd w:val="clear" w:color="auto" w:fill="FFFFFF"/>
        </w:rPr>
        <w:t>forecasted</w:t>
      </w:r>
      <w:r w:rsidR="000C543B" w:rsidRPr="008E3BF7">
        <w:rPr>
          <w:rFonts w:ascii="Arial" w:hAnsi="Arial" w:cs="Arial"/>
          <w:color w:val="000000"/>
          <w:sz w:val="20"/>
          <w:szCs w:val="20"/>
          <w:shd w:val="clear" w:color="auto" w:fill="FFFFFF"/>
        </w:rPr>
        <w:t xml:space="preserve"> (Jan 2020-Dec 2020)</w:t>
      </w:r>
      <w:r w:rsidR="00D44548" w:rsidRPr="008E3BF7">
        <w:rPr>
          <w:rFonts w:ascii="Arial" w:hAnsi="Arial" w:cs="Arial"/>
          <w:color w:val="000000"/>
          <w:sz w:val="20"/>
          <w:szCs w:val="20"/>
          <w:shd w:val="clear" w:color="auto" w:fill="FFFFFF"/>
        </w:rPr>
        <w:t xml:space="preserve"> using the </w:t>
      </w:r>
      <w:r w:rsidR="000C543B" w:rsidRPr="008E3BF7">
        <w:rPr>
          <w:rFonts w:ascii="Arial" w:hAnsi="Arial" w:cs="Arial"/>
          <w:color w:val="000000"/>
          <w:sz w:val="20"/>
          <w:szCs w:val="20"/>
          <w:shd w:val="clear" w:color="auto" w:fill="FFFFFF"/>
        </w:rPr>
        <w:t>ETS</w:t>
      </w:r>
      <w:r w:rsidR="00D44548" w:rsidRPr="008E3BF7">
        <w:rPr>
          <w:rFonts w:ascii="Arial" w:hAnsi="Arial" w:cs="Arial"/>
          <w:color w:val="000000"/>
          <w:sz w:val="20"/>
          <w:szCs w:val="20"/>
          <w:shd w:val="clear" w:color="auto" w:fill="FFFFFF"/>
        </w:rPr>
        <w:t xml:space="preserve"> procedure</w:t>
      </w:r>
    </w:p>
    <w:p w14:paraId="22E457C5" w14:textId="77777777" w:rsidR="006C2C7E" w:rsidRPr="008E3BF7" w:rsidRDefault="006C2C7E" w:rsidP="00237322">
      <w:pPr>
        <w:spacing w:after="0" w:line="240" w:lineRule="auto"/>
        <w:ind w:firstLine="720"/>
        <w:jc w:val="both"/>
        <w:rPr>
          <w:rFonts w:ascii="Arial" w:hAnsi="Arial" w:cs="Arial"/>
          <w:color w:val="000000"/>
          <w:sz w:val="20"/>
          <w:szCs w:val="20"/>
          <w:shd w:val="clear" w:color="auto" w:fill="FFFFFF"/>
        </w:rPr>
      </w:pPr>
    </w:p>
    <w:p w14:paraId="49E62573" w14:textId="06B291B0" w:rsidR="00B42E25" w:rsidRPr="008E3BF7" w:rsidRDefault="00C91484"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The largest </w:t>
      </w:r>
      <w:r w:rsidR="00C7357A" w:rsidRPr="008E3BF7">
        <w:rPr>
          <w:rFonts w:ascii="Arial" w:hAnsi="Arial" w:cs="Arial"/>
          <w:color w:val="000000"/>
          <w:sz w:val="20"/>
          <w:szCs w:val="20"/>
          <w:shd w:val="clear" w:color="auto" w:fill="FFFFFF"/>
        </w:rPr>
        <w:t xml:space="preserve">unweighted average </w:t>
      </w:r>
      <w:r w:rsidRPr="008E3BF7">
        <w:rPr>
          <w:rFonts w:ascii="Arial" w:hAnsi="Arial" w:cs="Arial"/>
          <w:color w:val="000000"/>
          <w:sz w:val="20"/>
          <w:szCs w:val="20"/>
          <w:shd w:val="clear" w:color="auto" w:fill="FFFFFF"/>
        </w:rPr>
        <w:t>MAPE was</w:t>
      </w:r>
      <w:r w:rsidR="00C7357A" w:rsidRPr="008E3BF7">
        <w:rPr>
          <w:rFonts w:ascii="Arial" w:hAnsi="Arial" w:cs="Arial"/>
          <w:color w:val="000000"/>
          <w:sz w:val="20"/>
          <w:szCs w:val="20"/>
          <w:shd w:val="clear" w:color="auto" w:fill="FFFFFF"/>
        </w:rPr>
        <w:t xml:space="preserve"> </w:t>
      </w:r>
      <w:r w:rsidRPr="008E3BF7">
        <w:rPr>
          <w:rFonts w:ascii="Arial" w:hAnsi="Arial" w:cs="Arial"/>
          <w:color w:val="000000"/>
          <w:sz w:val="20"/>
          <w:szCs w:val="20"/>
          <w:shd w:val="clear" w:color="auto" w:fill="FFFFFF"/>
        </w:rPr>
        <w:t>observed for camping demand, especially from foreigners</w:t>
      </w:r>
      <w:r w:rsidR="00044A3F" w:rsidRPr="008E3BF7">
        <w:rPr>
          <w:rFonts w:ascii="Arial" w:hAnsi="Arial" w:cs="Arial"/>
          <w:color w:val="000000"/>
          <w:sz w:val="20"/>
          <w:szCs w:val="20"/>
          <w:shd w:val="clear" w:color="auto" w:fill="FFFFFF"/>
        </w:rPr>
        <w:t xml:space="preserve"> (MAPE=40%)</w:t>
      </w:r>
      <w:r w:rsidRPr="008E3BF7">
        <w:rPr>
          <w:rFonts w:ascii="Arial" w:hAnsi="Arial" w:cs="Arial"/>
          <w:color w:val="000000"/>
          <w:sz w:val="20"/>
          <w:szCs w:val="20"/>
          <w:shd w:val="clear" w:color="auto" w:fill="FFFFFF"/>
        </w:rPr>
        <w:t>. Holiday accommodations are more predictable and the demand for hotels is, on average, almost perfectly predictable</w:t>
      </w:r>
      <w:r w:rsidR="00CE64FC" w:rsidRPr="008E3BF7">
        <w:rPr>
          <w:rFonts w:ascii="Arial" w:hAnsi="Arial" w:cs="Arial"/>
          <w:color w:val="000000"/>
          <w:sz w:val="20"/>
          <w:szCs w:val="20"/>
          <w:shd w:val="clear" w:color="auto" w:fill="FFFFFF"/>
        </w:rPr>
        <w:t xml:space="preserve"> (Prophet</w:t>
      </w:r>
      <w:r w:rsidR="00044A3F" w:rsidRPr="008E3BF7">
        <w:rPr>
          <w:rFonts w:ascii="Arial" w:hAnsi="Arial" w:cs="Arial"/>
          <w:color w:val="000000"/>
          <w:sz w:val="20"/>
          <w:szCs w:val="20"/>
          <w:shd w:val="clear" w:color="auto" w:fill="FFFFFF"/>
        </w:rPr>
        <w:t>’s</w:t>
      </w:r>
      <w:r w:rsidR="00CE64FC" w:rsidRPr="008E3BF7">
        <w:rPr>
          <w:rFonts w:ascii="Arial" w:hAnsi="Arial" w:cs="Arial"/>
          <w:color w:val="000000"/>
          <w:sz w:val="20"/>
          <w:szCs w:val="20"/>
          <w:shd w:val="clear" w:color="auto" w:fill="FFFFFF"/>
        </w:rPr>
        <w:t xml:space="preserve"> MAPE=4.99% for foreign demand and 4.60% for internal demand)</w:t>
      </w:r>
      <w:r w:rsidRPr="008E3BF7">
        <w:rPr>
          <w:rFonts w:ascii="Arial" w:hAnsi="Arial" w:cs="Arial"/>
          <w:color w:val="000000"/>
          <w:sz w:val="20"/>
          <w:szCs w:val="20"/>
          <w:shd w:val="clear" w:color="auto" w:fill="FFFFFF"/>
        </w:rPr>
        <w:t xml:space="preserve">. The difference in </w:t>
      </w:r>
      <w:r w:rsidR="00D56430" w:rsidRPr="008E3BF7">
        <w:rPr>
          <w:rFonts w:ascii="Arial" w:hAnsi="Arial" w:cs="Arial"/>
          <w:color w:val="000000"/>
          <w:sz w:val="20"/>
          <w:szCs w:val="20"/>
          <w:shd w:val="clear" w:color="auto" w:fill="FFFFFF"/>
        </w:rPr>
        <w:t>the magnitude of percentage errors</w:t>
      </w:r>
      <w:r w:rsidRPr="008E3BF7">
        <w:rPr>
          <w:rFonts w:ascii="Arial" w:hAnsi="Arial" w:cs="Arial"/>
          <w:color w:val="000000"/>
          <w:sz w:val="20"/>
          <w:szCs w:val="20"/>
          <w:shd w:val="clear" w:color="auto" w:fill="FFFFFF"/>
        </w:rPr>
        <w:t xml:space="preserve"> </w:t>
      </w:r>
      <w:r w:rsidR="00044A3F" w:rsidRPr="008E3BF7">
        <w:rPr>
          <w:rFonts w:ascii="Arial" w:hAnsi="Arial" w:cs="Arial"/>
          <w:color w:val="000000"/>
          <w:sz w:val="20"/>
          <w:szCs w:val="20"/>
          <w:shd w:val="clear" w:color="auto" w:fill="FFFFFF"/>
        </w:rPr>
        <w:t>is</w:t>
      </w:r>
      <w:r w:rsidRPr="008E3BF7">
        <w:rPr>
          <w:rFonts w:ascii="Arial" w:hAnsi="Arial" w:cs="Arial"/>
          <w:color w:val="000000"/>
          <w:sz w:val="20"/>
          <w:szCs w:val="20"/>
          <w:shd w:val="clear" w:color="auto" w:fill="FFFFFF"/>
        </w:rPr>
        <w:t xml:space="preserve"> explained </w:t>
      </w:r>
      <w:r w:rsidR="00044A3F" w:rsidRPr="008E3BF7">
        <w:rPr>
          <w:rFonts w:ascii="Arial" w:hAnsi="Arial" w:cs="Arial"/>
          <w:color w:val="000000"/>
          <w:sz w:val="20"/>
          <w:szCs w:val="20"/>
          <w:shd w:val="clear" w:color="auto" w:fill="FFFFFF"/>
        </w:rPr>
        <w:t xml:space="preserve">primarily </w:t>
      </w:r>
      <w:r w:rsidRPr="008E3BF7">
        <w:rPr>
          <w:rFonts w:ascii="Arial" w:hAnsi="Arial" w:cs="Arial"/>
          <w:color w:val="000000"/>
          <w:sz w:val="20"/>
          <w:szCs w:val="20"/>
          <w:shd w:val="clear" w:color="auto" w:fill="FFFFFF"/>
        </w:rPr>
        <w:t xml:space="preserve">by a relatively modest </w:t>
      </w:r>
      <w:r w:rsidR="00044A3F" w:rsidRPr="008E3BF7">
        <w:rPr>
          <w:rFonts w:ascii="Arial" w:hAnsi="Arial" w:cs="Arial"/>
          <w:color w:val="000000"/>
          <w:sz w:val="20"/>
          <w:szCs w:val="20"/>
          <w:shd w:val="clear" w:color="auto" w:fill="FFFFFF"/>
        </w:rPr>
        <w:t xml:space="preserve">and intermittent </w:t>
      </w:r>
      <w:r w:rsidRPr="008E3BF7">
        <w:rPr>
          <w:rFonts w:ascii="Arial" w:hAnsi="Arial" w:cs="Arial"/>
          <w:color w:val="000000"/>
          <w:sz w:val="20"/>
          <w:szCs w:val="20"/>
          <w:shd w:val="clear" w:color="auto" w:fill="FFFFFF"/>
        </w:rPr>
        <w:t>demand in the camping sector. As a result, even a small absolute error can result in a huge percentage error when the percentage is found relative to a small number.</w:t>
      </w:r>
    </w:p>
    <w:p w14:paraId="63516F0B" w14:textId="485C6FAE" w:rsidR="00A30653" w:rsidRPr="008E3BF7" w:rsidRDefault="00A30653"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For example, if we take a look at </w:t>
      </w:r>
      <w:proofErr w:type="spellStart"/>
      <w:r w:rsidRPr="008E3BF7">
        <w:rPr>
          <w:rFonts w:ascii="Arial" w:hAnsi="Arial" w:cs="Arial"/>
          <w:i/>
          <w:iCs/>
          <w:color w:val="000000"/>
          <w:sz w:val="20"/>
          <w:szCs w:val="20"/>
          <w:shd w:val="clear" w:color="auto" w:fill="FFFFFF"/>
        </w:rPr>
        <w:t>croatia</w:t>
      </w:r>
      <w:proofErr w:type="spellEnd"/>
      <w:r w:rsidRPr="008E3BF7">
        <w:rPr>
          <w:rFonts w:ascii="Arial" w:hAnsi="Arial" w:cs="Arial"/>
          <w:i/>
          <w:iCs/>
          <w:color w:val="000000"/>
          <w:sz w:val="20"/>
          <w:szCs w:val="20"/>
          <w:shd w:val="clear" w:color="auto" w:fill="FFFFFF"/>
        </w:rPr>
        <w:t>_</w:t>
      </w:r>
      <w:r w:rsidR="00044A3F" w:rsidRPr="008E3BF7">
        <w:rPr>
          <w:rFonts w:ascii="Arial" w:hAnsi="Arial" w:cs="Arial"/>
          <w:i/>
          <w:iCs/>
          <w:color w:val="000000"/>
          <w:sz w:val="20"/>
          <w:szCs w:val="20"/>
          <w:shd w:val="clear" w:color="auto" w:fill="FFFFFF"/>
        </w:rPr>
        <w:t xml:space="preserve"> </w:t>
      </w:r>
      <w:proofErr w:type="spellStart"/>
      <w:r w:rsidRPr="008E3BF7">
        <w:rPr>
          <w:rFonts w:ascii="Arial" w:hAnsi="Arial" w:cs="Arial"/>
          <w:i/>
          <w:iCs/>
          <w:color w:val="000000"/>
          <w:sz w:val="20"/>
          <w:szCs w:val="20"/>
          <w:shd w:val="clear" w:color="auto" w:fill="FFFFFF"/>
        </w:rPr>
        <w:t>camping_</w:t>
      </w:r>
      <w:r w:rsidR="00126F23" w:rsidRPr="008E3BF7">
        <w:rPr>
          <w:rFonts w:ascii="Arial" w:hAnsi="Arial" w:cs="Arial"/>
          <w:i/>
          <w:iCs/>
          <w:color w:val="000000"/>
          <w:sz w:val="20"/>
          <w:szCs w:val="20"/>
          <w:shd w:val="clear" w:color="auto" w:fill="FFFFFF"/>
        </w:rPr>
        <w:t>nat</w:t>
      </w:r>
      <w:proofErr w:type="spellEnd"/>
      <w:r w:rsidRPr="008E3BF7">
        <w:rPr>
          <w:rFonts w:ascii="Arial" w:hAnsi="Arial" w:cs="Arial"/>
          <w:color w:val="000000"/>
          <w:sz w:val="20"/>
          <w:szCs w:val="20"/>
          <w:shd w:val="clear" w:color="auto" w:fill="FFFFFF"/>
        </w:rPr>
        <w:t xml:space="preserve"> series</w:t>
      </w:r>
      <w:r w:rsidR="00630198" w:rsidRPr="008E3BF7">
        <w:rPr>
          <w:rFonts w:ascii="Arial" w:hAnsi="Arial" w:cs="Arial"/>
          <w:color w:val="000000"/>
          <w:sz w:val="20"/>
          <w:szCs w:val="20"/>
          <w:shd w:val="clear" w:color="auto" w:fill="FFFFFF"/>
        </w:rPr>
        <w:t xml:space="preserve"> (Figure</w:t>
      </w:r>
      <w:r w:rsidR="009C1091" w:rsidRPr="008E3BF7">
        <w:rPr>
          <w:rFonts w:ascii="Arial" w:hAnsi="Arial" w:cs="Arial"/>
          <w:color w:val="000000"/>
          <w:sz w:val="20"/>
          <w:szCs w:val="20"/>
          <w:shd w:val="clear" w:color="auto" w:fill="FFFFFF"/>
        </w:rPr>
        <w:t xml:space="preserve"> 2</w:t>
      </w:r>
      <w:r w:rsidR="00630198" w:rsidRPr="008E3BF7">
        <w:rPr>
          <w:rFonts w:ascii="Arial" w:hAnsi="Arial" w:cs="Arial"/>
          <w:color w:val="000000"/>
          <w:sz w:val="20"/>
          <w:szCs w:val="20"/>
          <w:shd w:val="clear" w:color="auto" w:fill="FFFFFF"/>
        </w:rPr>
        <w:t>)</w:t>
      </w:r>
      <w:r w:rsidRPr="008E3BF7">
        <w:rPr>
          <w:rFonts w:ascii="Arial" w:hAnsi="Arial" w:cs="Arial"/>
          <w:color w:val="000000"/>
          <w:sz w:val="20"/>
          <w:szCs w:val="20"/>
          <w:shd w:val="clear" w:color="auto" w:fill="FFFFFF"/>
        </w:rPr>
        <w:t xml:space="preserve"> we will see that there has been a growing trend in the last 4 years, but there was no steady growth before 2017, which causes uncertainty in the estimates. It is also worth mentioning that the demand for </w:t>
      </w:r>
      <w:proofErr w:type="spellStart"/>
      <w:r w:rsidRPr="008E3BF7">
        <w:rPr>
          <w:rFonts w:ascii="Arial" w:hAnsi="Arial" w:cs="Arial"/>
          <w:color w:val="000000"/>
          <w:sz w:val="20"/>
          <w:szCs w:val="20"/>
          <w:shd w:val="clear" w:color="auto" w:fill="FFFFFF"/>
        </w:rPr>
        <w:t>campings</w:t>
      </w:r>
      <w:proofErr w:type="spellEnd"/>
      <w:r w:rsidRPr="008E3BF7">
        <w:rPr>
          <w:rFonts w:ascii="Arial" w:hAnsi="Arial" w:cs="Arial"/>
          <w:color w:val="000000"/>
          <w:sz w:val="20"/>
          <w:szCs w:val="20"/>
          <w:shd w:val="clear" w:color="auto" w:fill="FFFFFF"/>
        </w:rPr>
        <w:t xml:space="preserve"> in the winter is typically close to zero, which explains large estimates of the percentage losses. At the same time, if we look at confidence bands the year 2020, there is some uncertainty mostly about the beginning and the end of the year, but, overall, the uncertainty intervals are narrow.</w:t>
      </w:r>
    </w:p>
    <w:p w14:paraId="3A0CC037" w14:textId="77777777" w:rsidR="009C1091" w:rsidRPr="008E3BF7" w:rsidRDefault="009C1091" w:rsidP="00237322">
      <w:pPr>
        <w:spacing w:after="0" w:line="240" w:lineRule="auto"/>
        <w:ind w:firstLine="720"/>
        <w:jc w:val="both"/>
        <w:rPr>
          <w:rFonts w:ascii="Arial" w:hAnsi="Arial" w:cs="Arial"/>
          <w:color w:val="000000"/>
          <w:sz w:val="20"/>
          <w:szCs w:val="20"/>
          <w:shd w:val="clear" w:color="auto" w:fill="FFFFFF"/>
        </w:rPr>
      </w:pPr>
    </w:p>
    <w:p w14:paraId="029588B7" w14:textId="0D159EC8" w:rsidR="00A30653" w:rsidRPr="008E3BF7" w:rsidRDefault="00D44548" w:rsidP="008E3BF7">
      <w:pPr>
        <w:spacing w:after="0" w:line="240" w:lineRule="auto"/>
        <w:ind w:firstLine="720"/>
        <w:jc w:val="center"/>
        <w:rPr>
          <w:rFonts w:ascii="Arial" w:hAnsi="Arial" w:cs="Arial"/>
          <w:color w:val="000000"/>
          <w:sz w:val="20"/>
          <w:szCs w:val="20"/>
          <w:shd w:val="clear" w:color="auto" w:fill="FFFFFF"/>
        </w:rPr>
      </w:pPr>
      <w:r w:rsidRPr="008E3BF7">
        <w:rPr>
          <w:rFonts w:ascii="Arial" w:hAnsi="Arial" w:cs="Arial"/>
          <w:noProof/>
          <w:sz w:val="18"/>
          <w:szCs w:val="18"/>
        </w:rPr>
        <w:lastRenderedPageBreak/>
        <w:drawing>
          <wp:inline distT="0" distB="0" distL="0" distR="0" wp14:anchorId="11791D26" wp14:editId="12537DC1">
            <wp:extent cx="4091940" cy="2525312"/>
            <wp:effectExtent l="0" t="0" r="381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04731" cy="2533206"/>
                    </a:xfrm>
                    <a:prstGeom prst="rect">
                      <a:avLst/>
                    </a:prstGeom>
                  </pic:spPr>
                </pic:pic>
              </a:graphicData>
            </a:graphic>
          </wp:inline>
        </w:drawing>
      </w:r>
    </w:p>
    <w:p w14:paraId="70932D32" w14:textId="5C132AED" w:rsidR="00630198" w:rsidRPr="008E3BF7" w:rsidRDefault="00630198" w:rsidP="008E3BF7">
      <w:pPr>
        <w:spacing w:after="0" w:line="240" w:lineRule="auto"/>
        <w:jc w:val="center"/>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Figure </w:t>
      </w:r>
      <w:r w:rsidR="00000A31" w:rsidRPr="008E3BF7">
        <w:rPr>
          <w:rFonts w:ascii="Arial" w:hAnsi="Arial" w:cs="Arial"/>
          <w:color w:val="000000"/>
          <w:sz w:val="20"/>
          <w:szCs w:val="20"/>
          <w:shd w:val="clear" w:color="auto" w:fill="FFFFFF"/>
        </w:rPr>
        <w:t>2</w:t>
      </w:r>
      <w:r w:rsidRPr="008E3BF7">
        <w:rPr>
          <w:rFonts w:ascii="Arial" w:hAnsi="Arial" w:cs="Arial"/>
          <w:color w:val="000000"/>
          <w:sz w:val="20"/>
          <w:szCs w:val="20"/>
          <w:shd w:val="clear" w:color="auto" w:fill="FFFFFF"/>
        </w:rPr>
        <w:t xml:space="preserve">. Nights spent by the country residents in Croatian camping grounds, recreational vehicle parks and trailer parks: </w:t>
      </w:r>
      <w:r w:rsidR="00000A31" w:rsidRPr="008E3BF7">
        <w:rPr>
          <w:rFonts w:ascii="Arial" w:hAnsi="Arial" w:cs="Arial"/>
          <w:color w:val="000000"/>
          <w:sz w:val="20"/>
          <w:szCs w:val="20"/>
          <w:shd w:val="clear" w:color="auto" w:fill="FFFFFF"/>
        </w:rPr>
        <w:t>observed</w:t>
      </w:r>
      <w:r w:rsidR="00126F23" w:rsidRPr="008E3BF7">
        <w:rPr>
          <w:rFonts w:ascii="Arial" w:hAnsi="Arial" w:cs="Arial"/>
          <w:color w:val="000000"/>
          <w:sz w:val="20"/>
          <w:szCs w:val="20"/>
          <w:shd w:val="clear" w:color="auto" w:fill="FFFFFF"/>
        </w:rPr>
        <w:t xml:space="preserve"> (</w:t>
      </w:r>
      <w:r w:rsidR="00D44548" w:rsidRPr="008E3BF7">
        <w:rPr>
          <w:rFonts w:ascii="Arial" w:hAnsi="Arial" w:cs="Arial"/>
          <w:color w:val="000000"/>
          <w:sz w:val="20"/>
          <w:szCs w:val="20"/>
          <w:shd w:val="clear" w:color="auto" w:fill="FFFFFF"/>
        </w:rPr>
        <w:t xml:space="preserve">Jan </w:t>
      </w:r>
      <w:r w:rsidR="00126F23" w:rsidRPr="008E3BF7">
        <w:rPr>
          <w:rFonts w:ascii="Arial" w:hAnsi="Arial" w:cs="Arial"/>
          <w:color w:val="000000"/>
          <w:sz w:val="20"/>
          <w:szCs w:val="20"/>
          <w:shd w:val="clear" w:color="auto" w:fill="FFFFFF"/>
        </w:rPr>
        <w:t>2012-</w:t>
      </w:r>
      <w:r w:rsidR="00D44548" w:rsidRPr="008E3BF7">
        <w:rPr>
          <w:rFonts w:ascii="Arial" w:hAnsi="Arial" w:cs="Arial"/>
          <w:color w:val="000000"/>
          <w:sz w:val="20"/>
          <w:szCs w:val="20"/>
          <w:shd w:val="clear" w:color="auto" w:fill="FFFFFF"/>
        </w:rPr>
        <w:t xml:space="preserve">May </w:t>
      </w:r>
      <w:r w:rsidR="00126F23" w:rsidRPr="008E3BF7">
        <w:rPr>
          <w:rFonts w:ascii="Arial" w:hAnsi="Arial" w:cs="Arial"/>
          <w:color w:val="000000"/>
          <w:sz w:val="20"/>
          <w:szCs w:val="20"/>
          <w:shd w:val="clear" w:color="auto" w:fill="FFFFFF"/>
        </w:rPr>
        <w:t>20</w:t>
      </w:r>
      <w:r w:rsidR="00D44548" w:rsidRPr="008E3BF7">
        <w:rPr>
          <w:rFonts w:ascii="Arial" w:hAnsi="Arial" w:cs="Arial"/>
          <w:color w:val="000000"/>
          <w:sz w:val="20"/>
          <w:szCs w:val="20"/>
          <w:shd w:val="clear" w:color="auto" w:fill="FFFFFF"/>
        </w:rPr>
        <w:t>20</w:t>
      </w:r>
      <w:r w:rsidR="00126F23" w:rsidRPr="008E3BF7">
        <w:rPr>
          <w:rFonts w:ascii="Arial" w:hAnsi="Arial" w:cs="Arial"/>
          <w:color w:val="000000"/>
          <w:sz w:val="20"/>
          <w:szCs w:val="20"/>
          <w:shd w:val="clear" w:color="auto" w:fill="FFFFFF"/>
        </w:rPr>
        <w:t>)</w:t>
      </w:r>
      <w:r w:rsidRPr="008E3BF7">
        <w:rPr>
          <w:rFonts w:ascii="Arial" w:hAnsi="Arial" w:cs="Arial"/>
          <w:color w:val="000000"/>
          <w:sz w:val="20"/>
          <w:szCs w:val="20"/>
          <w:shd w:val="clear" w:color="auto" w:fill="FFFFFF"/>
        </w:rPr>
        <w:t xml:space="preserve"> and forecasted</w:t>
      </w:r>
      <w:r w:rsidR="00126F23" w:rsidRPr="008E3BF7">
        <w:rPr>
          <w:rFonts w:ascii="Arial" w:hAnsi="Arial" w:cs="Arial"/>
          <w:color w:val="000000"/>
          <w:sz w:val="20"/>
          <w:szCs w:val="20"/>
          <w:shd w:val="clear" w:color="auto" w:fill="FFFFFF"/>
        </w:rPr>
        <w:t xml:space="preserve"> (</w:t>
      </w:r>
      <w:r w:rsidR="00D44548" w:rsidRPr="008E3BF7">
        <w:rPr>
          <w:rFonts w:ascii="Arial" w:hAnsi="Arial" w:cs="Arial"/>
          <w:color w:val="000000"/>
          <w:sz w:val="20"/>
          <w:szCs w:val="20"/>
          <w:shd w:val="clear" w:color="auto" w:fill="FFFFFF"/>
        </w:rPr>
        <w:t xml:space="preserve">Jan </w:t>
      </w:r>
      <w:r w:rsidR="00126F23" w:rsidRPr="008E3BF7">
        <w:rPr>
          <w:rFonts w:ascii="Arial" w:hAnsi="Arial" w:cs="Arial"/>
          <w:color w:val="000000"/>
          <w:sz w:val="20"/>
          <w:szCs w:val="20"/>
          <w:shd w:val="clear" w:color="auto" w:fill="FFFFFF"/>
        </w:rPr>
        <w:t>2020</w:t>
      </w:r>
      <w:r w:rsidR="00D44548" w:rsidRPr="008E3BF7">
        <w:rPr>
          <w:rFonts w:ascii="Arial" w:hAnsi="Arial" w:cs="Arial"/>
          <w:color w:val="000000"/>
          <w:sz w:val="20"/>
          <w:szCs w:val="20"/>
          <w:shd w:val="clear" w:color="auto" w:fill="FFFFFF"/>
        </w:rPr>
        <w:t>-Dec 2020</w:t>
      </w:r>
      <w:r w:rsidR="00126F23" w:rsidRPr="008E3BF7">
        <w:rPr>
          <w:rFonts w:ascii="Arial" w:hAnsi="Arial" w:cs="Arial"/>
          <w:color w:val="000000"/>
          <w:sz w:val="20"/>
          <w:szCs w:val="20"/>
          <w:shd w:val="clear" w:color="auto" w:fill="FFFFFF"/>
        </w:rPr>
        <w:t>)</w:t>
      </w:r>
      <w:r w:rsidRPr="008E3BF7">
        <w:rPr>
          <w:rFonts w:ascii="Arial" w:hAnsi="Arial" w:cs="Arial"/>
          <w:color w:val="000000"/>
          <w:sz w:val="20"/>
          <w:szCs w:val="20"/>
          <w:shd w:val="clear" w:color="auto" w:fill="FFFFFF"/>
        </w:rPr>
        <w:t xml:space="preserve"> using the Prophet procedure</w:t>
      </w:r>
    </w:p>
    <w:p w14:paraId="5E8AD919" w14:textId="77777777" w:rsidR="00630198" w:rsidRPr="008E3BF7" w:rsidRDefault="00630198" w:rsidP="00237322">
      <w:pPr>
        <w:spacing w:after="0" w:line="240" w:lineRule="auto"/>
        <w:ind w:firstLine="720"/>
        <w:jc w:val="both"/>
        <w:rPr>
          <w:rFonts w:ascii="Arial" w:hAnsi="Arial" w:cs="Arial"/>
          <w:color w:val="000000"/>
          <w:sz w:val="20"/>
          <w:szCs w:val="20"/>
          <w:shd w:val="clear" w:color="auto" w:fill="FFFFFF"/>
        </w:rPr>
      </w:pPr>
    </w:p>
    <w:p w14:paraId="48B73BD9" w14:textId="78CE72F2" w:rsidR="00630198" w:rsidRPr="008E3BF7" w:rsidRDefault="009C1091" w:rsidP="00237322">
      <w:pPr>
        <w:spacing w:after="0" w:line="240" w:lineRule="auto"/>
        <w:ind w:firstLine="720"/>
        <w:jc w:val="both"/>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A plot</w:t>
      </w:r>
      <w:r w:rsidR="00630198" w:rsidRPr="008E3BF7">
        <w:rPr>
          <w:rFonts w:ascii="Arial" w:hAnsi="Arial" w:cs="Arial"/>
          <w:color w:val="000000"/>
          <w:sz w:val="20"/>
          <w:szCs w:val="20"/>
          <w:shd w:val="clear" w:color="auto" w:fill="FFFFFF"/>
        </w:rPr>
        <w:t xml:space="preserve"> representing forecasts for Germany </w:t>
      </w:r>
      <w:r w:rsidRPr="008E3BF7">
        <w:rPr>
          <w:rFonts w:ascii="Arial" w:hAnsi="Arial" w:cs="Arial"/>
          <w:color w:val="000000"/>
          <w:sz w:val="20"/>
          <w:szCs w:val="20"/>
          <w:shd w:val="clear" w:color="auto" w:fill="FFFFFF"/>
        </w:rPr>
        <w:t xml:space="preserve">is </w:t>
      </w:r>
      <w:r w:rsidR="00630198" w:rsidRPr="008E3BF7">
        <w:rPr>
          <w:rFonts w:ascii="Arial" w:hAnsi="Arial" w:cs="Arial"/>
          <w:color w:val="000000"/>
          <w:sz w:val="20"/>
          <w:szCs w:val="20"/>
          <w:shd w:val="clear" w:color="auto" w:fill="FFFFFF"/>
        </w:rPr>
        <w:t>presented below</w:t>
      </w:r>
      <w:r w:rsidRPr="008E3BF7">
        <w:rPr>
          <w:rFonts w:ascii="Arial" w:hAnsi="Arial" w:cs="Arial"/>
          <w:color w:val="000000"/>
          <w:sz w:val="20"/>
          <w:szCs w:val="20"/>
          <w:shd w:val="clear" w:color="auto" w:fill="FFFFFF"/>
        </w:rPr>
        <w:t xml:space="preserve"> for illustrative purposes</w:t>
      </w:r>
      <w:r w:rsidR="00C43FE8" w:rsidRPr="008E3BF7">
        <w:rPr>
          <w:rFonts w:ascii="Arial" w:hAnsi="Arial" w:cs="Arial"/>
          <w:color w:val="000000"/>
          <w:sz w:val="20"/>
          <w:szCs w:val="20"/>
          <w:shd w:val="clear" w:color="auto" w:fill="FFFFFF"/>
        </w:rPr>
        <w:t xml:space="preserve"> (Figure 3)</w:t>
      </w:r>
      <w:r w:rsidR="00630198" w:rsidRPr="008E3BF7">
        <w:rPr>
          <w:rFonts w:ascii="Arial" w:hAnsi="Arial" w:cs="Arial"/>
          <w:color w:val="000000"/>
          <w:sz w:val="20"/>
          <w:szCs w:val="20"/>
          <w:shd w:val="clear" w:color="auto" w:fill="FFFFFF"/>
        </w:rPr>
        <w:t xml:space="preserve">. It </w:t>
      </w:r>
      <w:r w:rsidR="00C43FE8" w:rsidRPr="008E3BF7">
        <w:rPr>
          <w:rFonts w:ascii="Arial" w:hAnsi="Arial" w:cs="Arial"/>
          <w:color w:val="000000"/>
          <w:sz w:val="20"/>
          <w:szCs w:val="20"/>
          <w:shd w:val="clear" w:color="auto" w:fill="FFFFFF"/>
        </w:rPr>
        <w:t xml:space="preserve">shows </w:t>
      </w:r>
      <w:r w:rsidR="00126F23" w:rsidRPr="008E3BF7">
        <w:rPr>
          <w:rFonts w:ascii="Arial" w:hAnsi="Arial" w:cs="Arial"/>
          <w:color w:val="000000"/>
          <w:sz w:val="20"/>
          <w:szCs w:val="20"/>
          <w:shd w:val="clear" w:color="auto" w:fill="FFFFFF"/>
        </w:rPr>
        <w:t>that forecasted</w:t>
      </w:r>
      <w:r w:rsidRPr="008E3BF7">
        <w:rPr>
          <w:rFonts w:ascii="Arial" w:hAnsi="Arial" w:cs="Arial"/>
          <w:color w:val="000000"/>
          <w:sz w:val="20"/>
          <w:szCs w:val="20"/>
          <w:shd w:val="clear" w:color="auto" w:fill="FFFFFF"/>
        </w:rPr>
        <w:t xml:space="preserve"> values</w:t>
      </w:r>
      <w:r w:rsidR="00630198" w:rsidRPr="008E3BF7">
        <w:rPr>
          <w:rFonts w:ascii="Arial" w:hAnsi="Arial" w:cs="Arial"/>
          <w:color w:val="000000"/>
          <w:sz w:val="20"/>
          <w:szCs w:val="20"/>
          <w:shd w:val="clear" w:color="auto" w:fill="FFFFFF"/>
        </w:rPr>
        <w:t xml:space="preserve"> almost perfectly match observed values in January and February of 2020 even though they were not included into the training sample. There is little uncertainty associated with 2020 forecasts made for Germany as there </w:t>
      </w:r>
      <w:r w:rsidR="00860F63" w:rsidRPr="008E3BF7">
        <w:rPr>
          <w:rFonts w:ascii="Arial" w:hAnsi="Arial" w:cs="Arial"/>
          <w:color w:val="000000"/>
          <w:sz w:val="20"/>
          <w:szCs w:val="20"/>
          <w:shd w:val="clear" w:color="auto" w:fill="FFFFFF"/>
        </w:rPr>
        <w:t>was</w:t>
      </w:r>
      <w:r w:rsidR="00630198" w:rsidRPr="008E3BF7">
        <w:rPr>
          <w:rFonts w:ascii="Arial" w:hAnsi="Arial" w:cs="Arial"/>
          <w:color w:val="000000"/>
          <w:sz w:val="20"/>
          <w:szCs w:val="20"/>
          <w:shd w:val="clear" w:color="auto" w:fill="FFFFFF"/>
        </w:rPr>
        <w:t xml:space="preserve"> a stable trend and seasonality over the years.</w:t>
      </w:r>
    </w:p>
    <w:p w14:paraId="402903DB" w14:textId="5764E137" w:rsidR="00630198" w:rsidRPr="008E3BF7" w:rsidRDefault="00D44548" w:rsidP="008E3BF7">
      <w:pPr>
        <w:spacing w:after="0" w:line="240" w:lineRule="auto"/>
        <w:jc w:val="center"/>
        <w:rPr>
          <w:rFonts w:ascii="Arial" w:hAnsi="Arial" w:cs="Arial"/>
          <w:color w:val="000000"/>
          <w:sz w:val="20"/>
          <w:szCs w:val="20"/>
          <w:shd w:val="clear" w:color="auto" w:fill="FFFFFF"/>
        </w:rPr>
      </w:pPr>
      <w:r w:rsidRPr="008E3BF7">
        <w:rPr>
          <w:rFonts w:ascii="Arial" w:hAnsi="Arial" w:cs="Arial"/>
          <w:noProof/>
          <w:sz w:val="18"/>
          <w:szCs w:val="18"/>
        </w:rPr>
        <w:lastRenderedPageBreak/>
        <w:drawing>
          <wp:inline distT="0" distB="0" distL="0" distR="0" wp14:anchorId="5420E59A" wp14:editId="73D7F90F">
            <wp:extent cx="4411980" cy="2722822"/>
            <wp:effectExtent l="0" t="0" r="762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38882" cy="2739425"/>
                    </a:xfrm>
                    <a:prstGeom prst="rect">
                      <a:avLst/>
                    </a:prstGeom>
                  </pic:spPr>
                </pic:pic>
              </a:graphicData>
            </a:graphic>
          </wp:inline>
        </w:drawing>
      </w:r>
    </w:p>
    <w:p w14:paraId="5718766F" w14:textId="4FFEA98D" w:rsidR="00000A31" w:rsidRPr="008E3BF7" w:rsidRDefault="00000A31" w:rsidP="008E3BF7">
      <w:pPr>
        <w:spacing w:after="0" w:line="240" w:lineRule="auto"/>
        <w:jc w:val="center"/>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 xml:space="preserve">Figure </w:t>
      </w:r>
      <w:r w:rsidR="0015244A" w:rsidRPr="008E3BF7">
        <w:rPr>
          <w:rFonts w:ascii="Arial" w:hAnsi="Arial" w:cs="Arial"/>
          <w:color w:val="000000"/>
          <w:sz w:val="20"/>
          <w:szCs w:val="20"/>
          <w:shd w:val="clear" w:color="auto" w:fill="FFFFFF"/>
        </w:rPr>
        <w:t>3</w:t>
      </w:r>
      <w:r w:rsidRPr="008E3BF7">
        <w:rPr>
          <w:rFonts w:ascii="Arial" w:hAnsi="Arial" w:cs="Arial"/>
          <w:color w:val="000000"/>
          <w:sz w:val="20"/>
          <w:szCs w:val="20"/>
          <w:shd w:val="clear" w:color="auto" w:fill="FFFFFF"/>
        </w:rPr>
        <w:t>. Nights spent by the country residents in German hotels:</w:t>
      </w:r>
    </w:p>
    <w:p w14:paraId="439F8E8F" w14:textId="17F94037" w:rsidR="00000A31" w:rsidRPr="008E3BF7" w:rsidRDefault="00D44548" w:rsidP="008E3BF7">
      <w:pPr>
        <w:spacing w:after="0" w:line="240" w:lineRule="auto"/>
        <w:jc w:val="center"/>
        <w:rPr>
          <w:rFonts w:ascii="Arial" w:hAnsi="Arial" w:cs="Arial"/>
          <w:color w:val="000000"/>
          <w:sz w:val="20"/>
          <w:szCs w:val="20"/>
          <w:shd w:val="clear" w:color="auto" w:fill="FFFFFF"/>
        </w:rPr>
      </w:pPr>
      <w:r w:rsidRPr="008E3BF7">
        <w:rPr>
          <w:rFonts w:ascii="Arial" w:hAnsi="Arial" w:cs="Arial"/>
          <w:color w:val="000000"/>
          <w:sz w:val="20"/>
          <w:szCs w:val="20"/>
          <w:shd w:val="clear" w:color="auto" w:fill="FFFFFF"/>
        </w:rPr>
        <w:t>observed (Jan 2012-Dec 2020) and forecasted (Jan 2020-Dec 2020) using the Prophet procedure</w:t>
      </w:r>
    </w:p>
    <w:p w14:paraId="246D6770" w14:textId="77777777" w:rsidR="00D44548" w:rsidRPr="008E3BF7" w:rsidRDefault="00D44548" w:rsidP="00237322">
      <w:pPr>
        <w:spacing w:after="0" w:line="240" w:lineRule="auto"/>
        <w:jc w:val="both"/>
        <w:rPr>
          <w:rFonts w:ascii="Arial" w:hAnsi="Arial" w:cs="Arial"/>
          <w:b/>
          <w:bCs/>
        </w:rPr>
      </w:pPr>
    </w:p>
    <w:p w14:paraId="6A267DD2" w14:textId="5021314E" w:rsidR="00D74D27" w:rsidRPr="008E3BF7" w:rsidRDefault="00EE7317" w:rsidP="00237322">
      <w:pPr>
        <w:spacing w:after="0" w:line="240" w:lineRule="auto"/>
        <w:jc w:val="both"/>
        <w:rPr>
          <w:rFonts w:ascii="Arial" w:hAnsi="Arial" w:cs="Arial"/>
          <w:b/>
          <w:bCs/>
        </w:rPr>
      </w:pPr>
      <w:r w:rsidRPr="008E3BF7">
        <w:rPr>
          <w:rFonts w:ascii="Arial" w:hAnsi="Arial" w:cs="Arial"/>
          <w:b/>
          <w:bCs/>
        </w:rPr>
        <w:t xml:space="preserve">5.2 </w:t>
      </w:r>
      <w:r w:rsidR="00D74D27" w:rsidRPr="008E3BF7">
        <w:rPr>
          <w:rFonts w:ascii="Arial" w:hAnsi="Arial" w:cs="Arial"/>
          <w:b/>
          <w:bCs/>
        </w:rPr>
        <w:t xml:space="preserve">Evaluation </w:t>
      </w:r>
      <w:r w:rsidR="00D82DE7" w:rsidRPr="008E3BF7">
        <w:rPr>
          <w:rFonts w:ascii="Arial" w:hAnsi="Arial" w:cs="Arial"/>
          <w:b/>
          <w:bCs/>
        </w:rPr>
        <w:t xml:space="preserve">and meta-analysis </w:t>
      </w:r>
      <w:r w:rsidR="00D74D27" w:rsidRPr="008E3BF7">
        <w:rPr>
          <w:rFonts w:ascii="Arial" w:hAnsi="Arial" w:cs="Arial"/>
          <w:b/>
          <w:bCs/>
        </w:rPr>
        <w:t xml:space="preserve">of </w:t>
      </w:r>
      <w:r w:rsidR="00630198" w:rsidRPr="008E3BF7">
        <w:rPr>
          <w:rFonts w:ascii="Arial" w:hAnsi="Arial" w:cs="Arial"/>
          <w:b/>
          <w:bCs/>
        </w:rPr>
        <w:t xml:space="preserve">the </w:t>
      </w:r>
      <w:r w:rsidR="00D74D27" w:rsidRPr="008E3BF7">
        <w:rPr>
          <w:rFonts w:ascii="Arial" w:hAnsi="Arial" w:cs="Arial"/>
          <w:b/>
          <w:bCs/>
        </w:rPr>
        <w:t>COVID-19 effect</w:t>
      </w:r>
    </w:p>
    <w:p w14:paraId="23DDD25E" w14:textId="24ED7E79" w:rsidR="00C762BF" w:rsidRPr="008E3BF7" w:rsidRDefault="00C762BF" w:rsidP="00237322">
      <w:pPr>
        <w:spacing w:after="0" w:line="240" w:lineRule="auto"/>
        <w:ind w:firstLine="720"/>
        <w:jc w:val="both"/>
        <w:rPr>
          <w:rFonts w:ascii="Arial" w:hAnsi="Arial" w:cs="Arial"/>
          <w:sz w:val="20"/>
          <w:szCs w:val="20"/>
        </w:rPr>
      </w:pPr>
      <w:r w:rsidRPr="008E3BF7">
        <w:rPr>
          <w:rFonts w:ascii="Arial" w:hAnsi="Arial" w:cs="Arial"/>
          <w:sz w:val="20"/>
          <w:szCs w:val="20"/>
        </w:rPr>
        <w:t>Using all data points from January 2012 to December 2019</w:t>
      </w:r>
      <w:r w:rsidR="00E226AA" w:rsidRPr="008E3BF7">
        <w:rPr>
          <w:rFonts w:ascii="Arial" w:hAnsi="Arial" w:cs="Arial"/>
          <w:sz w:val="20"/>
          <w:szCs w:val="20"/>
        </w:rPr>
        <w:t xml:space="preserve"> (the last month when </w:t>
      </w:r>
      <w:r w:rsidR="009C1091" w:rsidRPr="008E3BF7">
        <w:rPr>
          <w:rFonts w:ascii="Arial" w:hAnsi="Arial" w:cs="Arial"/>
          <w:sz w:val="20"/>
          <w:szCs w:val="20"/>
        </w:rPr>
        <w:t>Europe</w:t>
      </w:r>
      <w:r w:rsidR="00E226AA" w:rsidRPr="008E3BF7">
        <w:rPr>
          <w:rFonts w:ascii="Arial" w:hAnsi="Arial" w:cs="Arial"/>
          <w:sz w:val="20"/>
          <w:szCs w:val="20"/>
        </w:rPr>
        <w:t xml:space="preserve"> has not been influenced by COVID-19 in any way)</w:t>
      </w:r>
      <w:r w:rsidRPr="008E3BF7">
        <w:rPr>
          <w:rFonts w:ascii="Arial" w:hAnsi="Arial" w:cs="Arial"/>
          <w:sz w:val="20"/>
          <w:szCs w:val="20"/>
        </w:rPr>
        <w:t xml:space="preserve"> a forecast for the next 12 months </w:t>
      </w:r>
      <w:r w:rsidR="00102F39" w:rsidRPr="008E3BF7">
        <w:rPr>
          <w:rFonts w:ascii="Arial" w:hAnsi="Arial" w:cs="Arial"/>
          <w:sz w:val="20"/>
          <w:szCs w:val="20"/>
        </w:rPr>
        <w:t xml:space="preserve">was generated </w:t>
      </w:r>
      <w:r w:rsidR="008B0D59" w:rsidRPr="008E3BF7">
        <w:rPr>
          <w:rFonts w:ascii="Arial" w:hAnsi="Arial" w:cs="Arial"/>
          <w:sz w:val="20"/>
          <w:szCs w:val="20"/>
        </w:rPr>
        <w:t xml:space="preserve">using </w:t>
      </w:r>
      <w:r w:rsidRPr="008E3BF7">
        <w:rPr>
          <w:rFonts w:ascii="Arial" w:hAnsi="Arial" w:cs="Arial"/>
          <w:sz w:val="20"/>
          <w:szCs w:val="20"/>
        </w:rPr>
        <w:t>the Prophet algorithm</w:t>
      </w:r>
      <w:r w:rsidR="00C6269E" w:rsidRPr="008E3BF7">
        <w:rPr>
          <w:rFonts w:ascii="Arial" w:hAnsi="Arial" w:cs="Arial"/>
          <w:sz w:val="20"/>
          <w:szCs w:val="20"/>
        </w:rPr>
        <w:t>, which was shown to perform better than others</w:t>
      </w:r>
      <w:r w:rsidRPr="008E3BF7">
        <w:rPr>
          <w:rFonts w:ascii="Arial" w:hAnsi="Arial" w:cs="Arial"/>
          <w:sz w:val="20"/>
          <w:szCs w:val="20"/>
        </w:rPr>
        <w:t>. First, a new training set was created so that it contains all time periods up to December 2019.</w:t>
      </w:r>
      <w:r w:rsidR="00E226AA" w:rsidRPr="008E3BF7">
        <w:rPr>
          <w:rFonts w:ascii="Arial" w:hAnsi="Arial" w:cs="Arial"/>
          <w:sz w:val="20"/>
          <w:szCs w:val="20"/>
        </w:rPr>
        <w:t xml:space="preserve"> Then the Prophet algorithm was applied to the new training dataset and a 12-month ahead forecast was </w:t>
      </w:r>
      <w:r w:rsidR="00C24393" w:rsidRPr="008E3BF7">
        <w:rPr>
          <w:rFonts w:ascii="Arial" w:hAnsi="Arial" w:cs="Arial"/>
          <w:sz w:val="20"/>
          <w:szCs w:val="20"/>
        </w:rPr>
        <w:t>obtained</w:t>
      </w:r>
      <w:r w:rsidR="00E226AA" w:rsidRPr="008E3BF7">
        <w:rPr>
          <w:rFonts w:ascii="Arial" w:hAnsi="Arial" w:cs="Arial"/>
          <w:sz w:val="20"/>
          <w:szCs w:val="20"/>
        </w:rPr>
        <w:t>.</w:t>
      </w:r>
      <w:r w:rsidR="00C859BD" w:rsidRPr="008E3BF7">
        <w:rPr>
          <w:rFonts w:ascii="Arial" w:hAnsi="Arial" w:cs="Arial"/>
          <w:sz w:val="20"/>
          <w:szCs w:val="20"/>
        </w:rPr>
        <w:t xml:space="preserve"> </w:t>
      </w:r>
    </w:p>
    <w:p w14:paraId="501D2126" w14:textId="60B28956" w:rsidR="002772F1" w:rsidRPr="008E3BF7" w:rsidRDefault="00ED2217"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Some positive or </w:t>
      </w:r>
      <w:r w:rsidR="002772F1" w:rsidRPr="008E3BF7">
        <w:rPr>
          <w:rFonts w:ascii="Arial" w:hAnsi="Arial" w:cs="Arial"/>
          <w:sz w:val="20"/>
          <w:szCs w:val="20"/>
        </w:rPr>
        <w:t xml:space="preserve">very </w:t>
      </w:r>
      <w:r w:rsidRPr="008E3BF7">
        <w:rPr>
          <w:rFonts w:ascii="Arial" w:hAnsi="Arial" w:cs="Arial"/>
          <w:sz w:val="20"/>
          <w:szCs w:val="20"/>
        </w:rPr>
        <w:t xml:space="preserve">small negative point estimates of the percentage difference between the </w:t>
      </w:r>
      <w:r w:rsidR="002772F1" w:rsidRPr="008E3BF7">
        <w:rPr>
          <w:rFonts w:ascii="Arial" w:hAnsi="Arial" w:cs="Arial"/>
          <w:sz w:val="20"/>
          <w:szCs w:val="20"/>
        </w:rPr>
        <w:t xml:space="preserve">actual and forecasted values (implying no losses) were caused by the presence of highly </w:t>
      </w:r>
      <w:r w:rsidR="00C24393" w:rsidRPr="008E3BF7">
        <w:rPr>
          <w:rFonts w:ascii="Arial" w:hAnsi="Arial" w:cs="Arial"/>
          <w:sz w:val="20"/>
          <w:szCs w:val="20"/>
        </w:rPr>
        <w:t>u</w:t>
      </w:r>
      <w:r w:rsidR="002772F1" w:rsidRPr="008E3BF7">
        <w:rPr>
          <w:rFonts w:ascii="Arial" w:hAnsi="Arial" w:cs="Arial"/>
          <w:sz w:val="20"/>
          <w:szCs w:val="20"/>
        </w:rPr>
        <w:t xml:space="preserve">ncertain estimates (mostly for </w:t>
      </w:r>
      <w:r w:rsidR="00C24393" w:rsidRPr="008E3BF7">
        <w:rPr>
          <w:rFonts w:ascii="Arial" w:hAnsi="Arial" w:cs="Arial"/>
          <w:sz w:val="20"/>
          <w:szCs w:val="20"/>
        </w:rPr>
        <w:t>camping</w:t>
      </w:r>
      <w:r w:rsidR="005766CD" w:rsidRPr="008E3BF7">
        <w:rPr>
          <w:rFonts w:ascii="Arial" w:hAnsi="Arial" w:cs="Arial"/>
          <w:sz w:val="20"/>
          <w:szCs w:val="20"/>
        </w:rPr>
        <w:t xml:space="preserve"> grounds</w:t>
      </w:r>
      <w:r w:rsidR="002772F1" w:rsidRPr="008E3BF7">
        <w:rPr>
          <w:rFonts w:ascii="Arial" w:hAnsi="Arial" w:cs="Arial"/>
          <w:sz w:val="20"/>
          <w:szCs w:val="20"/>
        </w:rPr>
        <w:t xml:space="preserve"> in countries with small intermittent demand for them). Such outliers were eliminated by excluding all loss estimates with a prediction </w:t>
      </w:r>
      <w:r w:rsidR="00C859BD" w:rsidRPr="008E3BF7">
        <w:rPr>
          <w:rFonts w:ascii="Arial" w:hAnsi="Arial" w:cs="Arial"/>
          <w:sz w:val="20"/>
          <w:szCs w:val="20"/>
        </w:rPr>
        <w:t xml:space="preserve">interval </w:t>
      </w:r>
      <w:r w:rsidR="002772F1" w:rsidRPr="008E3BF7">
        <w:rPr>
          <w:rFonts w:ascii="Arial" w:hAnsi="Arial" w:cs="Arial"/>
          <w:sz w:val="20"/>
          <w:szCs w:val="20"/>
        </w:rPr>
        <w:t>wider</w:t>
      </w:r>
      <w:r w:rsidR="00C859BD" w:rsidRPr="008E3BF7">
        <w:rPr>
          <w:rFonts w:ascii="Arial" w:hAnsi="Arial" w:cs="Arial"/>
          <w:sz w:val="20"/>
          <w:szCs w:val="20"/>
        </w:rPr>
        <w:t xml:space="preserve"> than 20 percentage points</w:t>
      </w:r>
      <w:r w:rsidR="002772F1" w:rsidRPr="008E3BF7">
        <w:rPr>
          <w:rFonts w:ascii="Arial" w:hAnsi="Arial" w:cs="Arial"/>
          <w:sz w:val="20"/>
          <w:szCs w:val="20"/>
        </w:rPr>
        <w:t>. After that, the distribution of</w:t>
      </w:r>
      <w:r w:rsidR="00C24393" w:rsidRPr="008E3BF7">
        <w:rPr>
          <w:rFonts w:ascii="Arial" w:hAnsi="Arial" w:cs="Arial"/>
          <w:sz w:val="20"/>
          <w:szCs w:val="20"/>
        </w:rPr>
        <w:t xml:space="preserve"> t</w:t>
      </w:r>
      <w:r w:rsidR="002772F1" w:rsidRPr="008E3BF7">
        <w:rPr>
          <w:rFonts w:ascii="Arial" w:hAnsi="Arial" w:cs="Arial"/>
          <w:sz w:val="20"/>
          <w:szCs w:val="20"/>
        </w:rPr>
        <w:t xml:space="preserve">he </w:t>
      </w:r>
      <w:r w:rsidR="009C1091" w:rsidRPr="008E3BF7">
        <w:rPr>
          <w:rFonts w:ascii="Arial" w:hAnsi="Arial" w:cs="Arial"/>
          <w:sz w:val="20"/>
          <w:szCs w:val="20"/>
        </w:rPr>
        <w:t>remaining estimates</w:t>
      </w:r>
      <w:r w:rsidR="002772F1" w:rsidRPr="008E3BF7">
        <w:rPr>
          <w:rFonts w:ascii="Arial" w:hAnsi="Arial" w:cs="Arial"/>
          <w:sz w:val="20"/>
          <w:szCs w:val="20"/>
        </w:rPr>
        <w:t xml:space="preserve"> was summarized using boxplots grouped by month and sector</w:t>
      </w:r>
      <w:r w:rsidR="00C24393" w:rsidRPr="008E3BF7">
        <w:rPr>
          <w:rFonts w:ascii="Arial" w:hAnsi="Arial" w:cs="Arial"/>
          <w:sz w:val="20"/>
          <w:szCs w:val="20"/>
        </w:rPr>
        <w:t xml:space="preserve"> (Figure 4)</w:t>
      </w:r>
      <w:r w:rsidR="002772F1" w:rsidRPr="008E3BF7">
        <w:rPr>
          <w:rFonts w:ascii="Arial" w:hAnsi="Arial" w:cs="Arial"/>
          <w:sz w:val="20"/>
          <w:szCs w:val="20"/>
        </w:rPr>
        <w:t>.</w:t>
      </w:r>
      <w:r w:rsidR="00C6269E" w:rsidRPr="008E3BF7">
        <w:rPr>
          <w:rFonts w:ascii="Arial" w:hAnsi="Arial" w:cs="Arial"/>
          <w:sz w:val="20"/>
          <w:szCs w:val="20"/>
        </w:rPr>
        <w:t xml:space="preserve"> </w:t>
      </w:r>
      <w:r w:rsidR="005766CD" w:rsidRPr="008E3BF7">
        <w:rPr>
          <w:rFonts w:ascii="Arial" w:hAnsi="Arial" w:cs="Arial"/>
          <w:sz w:val="20"/>
          <w:szCs w:val="20"/>
        </w:rPr>
        <w:t>Across all countries h</w:t>
      </w:r>
      <w:r w:rsidR="005766CD" w:rsidRPr="008E3BF7">
        <w:rPr>
          <w:rFonts w:ascii="Arial" w:hAnsi="Arial" w:cs="Arial"/>
          <w:color w:val="000000"/>
          <w:sz w:val="20"/>
          <w:szCs w:val="20"/>
          <w:shd w:val="clear" w:color="auto" w:fill="FFFFFF"/>
        </w:rPr>
        <w:t>oliday and other short-stay accommodation experienced smaller median losses than hotels and camping grounds.</w:t>
      </w:r>
    </w:p>
    <w:p w14:paraId="5FE35E22" w14:textId="4C2F829A" w:rsidR="00EE7317" w:rsidRPr="008E3BF7" w:rsidRDefault="00CF6192" w:rsidP="00237322">
      <w:pPr>
        <w:spacing w:after="0" w:line="240" w:lineRule="auto"/>
        <w:ind w:firstLine="720"/>
        <w:jc w:val="both"/>
        <w:rPr>
          <w:rFonts w:ascii="Arial" w:hAnsi="Arial" w:cs="Arial"/>
          <w:sz w:val="20"/>
          <w:szCs w:val="20"/>
        </w:rPr>
      </w:pPr>
      <w:r w:rsidRPr="008E3BF7">
        <w:rPr>
          <w:rFonts w:ascii="Arial" w:hAnsi="Arial" w:cs="Arial"/>
          <w:noProof/>
          <w:sz w:val="18"/>
          <w:szCs w:val="18"/>
        </w:rPr>
        <w:lastRenderedPageBreak/>
        <w:drawing>
          <wp:inline distT="0" distB="0" distL="0" distR="0" wp14:anchorId="55B230B3" wp14:editId="30032C4E">
            <wp:extent cx="5334462" cy="3292125"/>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34462" cy="3292125"/>
                    </a:xfrm>
                    <a:prstGeom prst="rect">
                      <a:avLst/>
                    </a:prstGeom>
                  </pic:spPr>
                </pic:pic>
              </a:graphicData>
            </a:graphic>
          </wp:inline>
        </w:drawing>
      </w:r>
    </w:p>
    <w:p w14:paraId="6766684F" w14:textId="5ED9EBEF" w:rsidR="00EE7317" w:rsidRPr="008E3BF7" w:rsidRDefault="00EE7317" w:rsidP="008E3BF7">
      <w:pPr>
        <w:spacing w:after="0" w:line="240" w:lineRule="auto"/>
        <w:ind w:firstLine="720"/>
        <w:jc w:val="center"/>
        <w:rPr>
          <w:rFonts w:ascii="Arial" w:hAnsi="Arial" w:cs="Arial"/>
          <w:sz w:val="20"/>
          <w:szCs w:val="20"/>
        </w:rPr>
      </w:pPr>
      <w:r w:rsidRPr="008E3BF7">
        <w:rPr>
          <w:rFonts w:ascii="Arial" w:hAnsi="Arial" w:cs="Arial"/>
          <w:sz w:val="20"/>
          <w:szCs w:val="20"/>
        </w:rPr>
        <w:t>Figure 4. Boxplots of estimated losses by month and sector</w:t>
      </w:r>
    </w:p>
    <w:p w14:paraId="11296EBF" w14:textId="77777777" w:rsidR="00EE7317" w:rsidRPr="008E3BF7" w:rsidRDefault="00EE7317" w:rsidP="00237322">
      <w:pPr>
        <w:spacing w:after="0" w:line="240" w:lineRule="auto"/>
        <w:ind w:firstLine="720"/>
        <w:jc w:val="both"/>
        <w:rPr>
          <w:rFonts w:ascii="Arial" w:hAnsi="Arial" w:cs="Arial"/>
          <w:sz w:val="20"/>
          <w:szCs w:val="20"/>
        </w:rPr>
      </w:pPr>
    </w:p>
    <w:p w14:paraId="5CC75399" w14:textId="7FDE6707" w:rsidR="00923E79" w:rsidRPr="008E3BF7" w:rsidRDefault="002772F1" w:rsidP="00237322">
      <w:pPr>
        <w:spacing w:after="0" w:line="240" w:lineRule="auto"/>
        <w:ind w:firstLine="720"/>
        <w:jc w:val="both"/>
        <w:rPr>
          <w:rFonts w:ascii="Arial" w:hAnsi="Arial" w:cs="Arial"/>
          <w:sz w:val="20"/>
          <w:szCs w:val="20"/>
        </w:rPr>
      </w:pPr>
      <w:r w:rsidRPr="008E3BF7">
        <w:rPr>
          <w:rFonts w:ascii="Arial" w:hAnsi="Arial" w:cs="Arial"/>
          <w:sz w:val="20"/>
          <w:szCs w:val="20"/>
        </w:rPr>
        <w:t>A</w:t>
      </w:r>
      <w:r w:rsidR="00C859BD" w:rsidRPr="008E3BF7">
        <w:rPr>
          <w:rFonts w:ascii="Arial" w:hAnsi="Arial" w:cs="Arial"/>
          <w:sz w:val="20"/>
          <w:szCs w:val="20"/>
        </w:rPr>
        <w:t xml:space="preserve"> clustered heatmap was constructed with rows and columns ordered to highlight patterns and are accompanied by dendrograms</w:t>
      </w:r>
      <w:r w:rsidR="00C6269E" w:rsidRPr="008E3BF7">
        <w:rPr>
          <w:rFonts w:ascii="Arial" w:hAnsi="Arial" w:cs="Arial"/>
          <w:sz w:val="20"/>
          <w:szCs w:val="20"/>
        </w:rPr>
        <w:t xml:space="preserve"> (Figure 5)</w:t>
      </w:r>
      <w:r w:rsidR="00C859BD" w:rsidRPr="008E3BF7">
        <w:rPr>
          <w:rFonts w:ascii="Arial" w:hAnsi="Arial" w:cs="Arial"/>
          <w:sz w:val="20"/>
          <w:szCs w:val="20"/>
        </w:rPr>
        <w:t xml:space="preserve">. The </w:t>
      </w:r>
      <w:r w:rsidR="00C24393" w:rsidRPr="008E3BF7">
        <w:rPr>
          <w:rFonts w:ascii="Arial" w:hAnsi="Arial" w:cs="Arial"/>
          <w:sz w:val="20"/>
          <w:szCs w:val="20"/>
        </w:rPr>
        <w:t>heatmap clearly</w:t>
      </w:r>
      <w:r w:rsidR="00C859BD" w:rsidRPr="008E3BF7">
        <w:rPr>
          <w:rFonts w:ascii="Arial" w:hAnsi="Arial" w:cs="Arial"/>
          <w:sz w:val="20"/>
          <w:szCs w:val="20"/>
        </w:rPr>
        <w:t xml:space="preserve"> show</w:t>
      </w:r>
      <w:r w:rsidR="00C24393" w:rsidRPr="008E3BF7">
        <w:rPr>
          <w:rFonts w:ascii="Arial" w:hAnsi="Arial" w:cs="Arial"/>
          <w:sz w:val="20"/>
          <w:szCs w:val="20"/>
        </w:rPr>
        <w:t>s</w:t>
      </w:r>
      <w:r w:rsidR="00C859BD" w:rsidRPr="008E3BF7">
        <w:rPr>
          <w:rFonts w:ascii="Arial" w:hAnsi="Arial" w:cs="Arial"/>
          <w:sz w:val="20"/>
          <w:szCs w:val="20"/>
        </w:rPr>
        <w:t xml:space="preserve"> the clustering of 18 countries and 18 indicators by estimated percentage losses. First, most camping segments loss estimates has wide uncertainty intervals and are not reported.  March </w:t>
      </w:r>
      <w:r w:rsidR="00C24393" w:rsidRPr="008E3BF7">
        <w:rPr>
          <w:rFonts w:ascii="Arial" w:hAnsi="Arial" w:cs="Arial"/>
          <w:sz w:val="20"/>
          <w:szCs w:val="20"/>
        </w:rPr>
        <w:t>losses</w:t>
      </w:r>
      <w:r w:rsidR="00C859BD" w:rsidRPr="008E3BF7">
        <w:rPr>
          <w:rFonts w:ascii="Arial" w:hAnsi="Arial" w:cs="Arial"/>
          <w:sz w:val="20"/>
          <w:szCs w:val="20"/>
        </w:rPr>
        <w:t xml:space="preserve"> were consistently </w:t>
      </w:r>
      <w:r w:rsidR="00C6269E" w:rsidRPr="008E3BF7">
        <w:rPr>
          <w:rFonts w:ascii="Arial" w:hAnsi="Arial" w:cs="Arial"/>
          <w:sz w:val="20"/>
          <w:szCs w:val="20"/>
        </w:rPr>
        <w:t>the lowest</w:t>
      </w:r>
      <w:r w:rsidR="00C859BD" w:rsidRPr="008E3BF7">
        <w:rPr>
          <w:rFonts w:ascii="Arial" w:hAnsi="Arial" w:cs="Arial"/>
          <w:sz w:val="20"/>
          <w:szCs w:val="20"/>
        </w:rPr>
        <w:t xml:space="preserve">, because </w:t>
      </w:r>
      <w:r w:rsidR="00C6269E" w:rsidRPr="008E3BF7">
        <w:rPr>
          <w:rFonts w:ascii="Arial" w:hAnsi="Arial" w:cs="Arial"/>
          <w:sz w:val="20"/>
          <w:szCs w:val="20"/>
        </w:rPr>
        <w:t>all major restrictions were introduced only in the second half of the month.</w:t>
      </w:r>
    </w:p>
    <w:p w14:paraId="5F3BA8EF" w14:textId="0ECCB8F6" w:rsidR="00D82DE7" w:rsidRPr="008E3BF7" w:rsidRDefault="00D82DE7" w:rsidP="00237322">
      <w:pPr>
        <w:spacing w:after="0" w:line="240" w:lineRule="auto"/>
        <w:ind w:firstLine="720"/>
        <w:jc w:val="both"/>
        <w:rPr>
          <w:rFonts w:ascii="Arial" w:hAnsi="Arial" w:cs="Arial"/>
          <w:sz w:val="20"/>
          <w:szCs w:val="20"/>
        </w:rPr>
      </w:pPr>
    </w:p>
    <w:p w14:paraId="5EE06A91" w14:textId="033B31D8" w:rsidR="00D82DE7" w:rsidRPr="008E3BF7" w:rsidRDefault="00D82DE7" w:rsidP="00237322">
      <w:pPr>
        <w:spacing w:after="0" w:line="240" w:lineRule="auto"/>
        <w:jc w:val="both"/>
        <w:rPr>
          <w:rFonts w:ascii="Arial" w:hAnsi="Arial" w:cs="Arial"/>
          <w:sz w:val="20"/>
          <w:szCs w:val="20"/>
        </w:rPr>
      </w:pPr>
      <w:r w:rsidRPr="008E3BF7">
        <w:rPr>
          <w:rFonts w:ascii="Arial" w:hAnsi="Arial" w:cs="Arial"/>
          <w:noProof/>
          <w:sz w:val="18"/>
          <w:szCs w:val="18"/>
        </w:rPr>
        <w:lastRenderedPageBreak/>
        <w:drawing>
          <wp:inline distT="0" distB="0" distL="0" distR="0" wp14:anchorId="435D4E5A" wp14:editId="5099A49B">
            <wp:extent cx="5996940" cy="38862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744" t="1162" r="1787"/>
                    <a:stretch/>
                  </pic:blipFill>
                  <pic:spPr bwMode="auto">
                    <a:xfrm>
                      <a:off x="0" y="0"/>
                      <a:ext cx="5996940" cy="3886200"/>
                    </a:xfrm>
                    <a:prstGeom prst="rect">
                      <a:avLst/>
                    </a:prstGeom>
                    <a:noFill/>
                    <a:ln>
                      <a:noFill/>
                    </a:ln>
                    <a:extLst>
                      <a:ext uri="{53640926-AAD7-44D8-BBD7-CCE9431645EC}">
                        <a14:shadowObscured xmlns:a14="http://schemas.microsoft.com/office/drawing/2010/main"/>
                      </a:ext>
                    </a:extLst>
                  </pic:spPr>
                </pic:pic>
              </a:graphicData>
            </a:graphic>
          </wp:inline>
        </w:drawing>
      </w:r>
    </w:p>
    <w:p w14:paraId="200179B2" w14:textId="387F4927" w:rsidR="00A30653" w:rsidRPr="008E3BF7" w:rsidRDefault="00D82DE7"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Figure </w:t>
      </w:r>
      <w:r w:rsidR="00C6269E" w:rsidRPr="008E3BF7">
        <w:rPr>
          <w:rFonts w:ascii="Arial" w:hAnsi="Arial" w:cs="Arial"/>
          <w:sz w:val="20"/>
          <w:szCs w:val="20"/>
        </w:rPr>
        <w:t>5</w:t>
      </w:r>
      <w:r w:rsidRPr="008E3BF7">
        <w:rPr>
          <w:rFonts w:ascii="Arial" w:hAnsi="Arial" w:cs="Arial"/>
          <w:sz w:val="20"/>
          <w:szCs w:val="20"/>
        </w:rPr>
        <w:t>. Clustered heatmap of estimated losses (%)</w:t>
      </w:r>
    </w:p>
    <w:p w14:paraId="54BEB379" w14:textId="77777777" w:rsidR="00D82DE7" w:rsidRPr="008E3BF7" w:rsidRDefault="00D82DE7" w:rsidP="00237322">
      <w:pPr>
        <w:spacing w:after="0" w:line="240" w:lineRule="auto"/>
        <w:ind w:firstLine="720"/>
        <w:jc w:val="both"/>
        <w:rPr>
          <w:rFonts w:ascii="Arial" w:hAnsi="Arial" w:cs="Arial"/>
          <w:sz w:val="20"/>
          <w:szCs w:val="20"/>
        </w:rPr>
      </w:pPr>
    </w:p>
    <w:p w14:paraId="2C9BB494" w14:textId="2F596A96" w:rsidR="00C24393" w:rsidRPr="008E3BF7" w:rsidRDefault="00C24393"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Even though all countries experienced serious losses during restrictions associated with COVID-19, there is a cluster of countries where percentage losses in the number of nights spent at tourist accommodations were smaller: Latvia, Sweden, </w:t>
      </w:r>
      <w:r w:rsidR="00C6269E" w:rsidRPr="008E3BF7">
        <w:rPr>
          <w:rFonts w:ascii="Arial" w:hAnsi="Arial" w:cs="Arial"/>
          <w:sz w:val="20"/>
          <w:szCs w:val="20"/>
        </w:rPr>
        <w:t>Finland,</w:t>
      </w:r>
      <w:r w:rsidRPr="008E3BF7">
        <w:rPr>
          <w:rFonts w:ascii="Arial" w:hAnsi="Arial" w:cs="Arial"/>
          <w:sz w:val="20"/>
          <w:szCs w:val="20"/>
        </w:rPr>
        <w:t xml:space="preserve"> and Denmark. The most impacted group of countries includes Italy, Croatia, Slovenia, </w:t>
      </w:r>
      <w:r w:rsidR="00C6269E" w:rsidRPr="008E3BF7">
        <w:rPr>
          <w:rFonts w:ascii="Arial" w:hAnsi="Arial" w:cs="Arial"/>
          <w:sz w:val="20"/>
          <w:szCs w:val="20"/>
        </w:rPr>
        <w:t>Belgium,</w:t>
      </w:r>
      <w:r w:rsidRPr="008E3BF7">
        <w:rPr>
          <w:rFonts w:ascii="Arial" w:hAnsi="Arial" w:cs="Arial"/>
          <w:sz w:val="20"/>
          <w:szCs w:val="20"/>
        </w:rPr>
        <w:t xml:space="preserve"> and Spain. The rest of the 9 countries are in the medium segment mainly due to smaller losses during the first month of the all-European lockdown. </w:t>
      </w:r>
    </w:p>
    <w:p w14:paraId="538BD522" w14:textId="4A482E7A" w:rsidR="002C43A8" w:rsidRPr="008E3BF7" w:rsidRDefault="007B51A5"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Negative linear regression coefficients indicate on average larger losses, while negative logistic regression coefficients - lower probabilities of smaller than 2/3 decrease compared to the baseline forecast (Table </w:t>
      </w:r>
      <w:r w:rsidR="00C6269E" w:rsidRPr="008E3BF7">
        <w:rPr>
          <w:rFonts w:ascii="Arial" w:hAnsi="Arial" w:cs="Arial"/>
          <w:sz w:val="20"/>
          <w:szCs w:val="20"/>
        </w:rPr>
        <w:t>2</w:t>
      </w:r>
      <w:r w:rsidRPr="008E3BF7">
        <w:rPr>
          <w:rFonts w:ascii="Arial" w:hAnsi="Arial" w:cs="Arial"/>
          <w:sz w:val="20"/>
          <w:szCs w:val="20"/>
        </w:rPr>
        <w:t xml:space="preserve">). </w:t>
      </w:r>
      <w:r w:rsidR="002142D4" w:rsidRPr="008E3BF7">
        <w:rPr>
          <w:rFonts w:ascii="Arial" w:hAnsi="Arial" w:cs="Arial"/>
          <w:sz w:val="20"/>
          <w:szCs w:val="20"/>
        </w:rPr>
        <w:t>The estimates</w:t>
      </w:r>
      <w:r w:rsidR="00460F1B" w:rsidRPr="008E3BF7">
        <w:rPr>
          <w:rFonts w:ascii="Arial" w:hAnsi="Arial" w:cs="Arial"/>
          <w:sz w:val="20"/>
          <w:szCs w:val="20"/>
        </w:rPr>
        <w:t xml:space="preserve"> of linear and logistic regression</w:t>
      </w:r>
      <w:r w:rsidR="002142D4" w:rsidRPr="008E3BF7">
        <w:rPr>
          <w:rFonts w:ascii="Arial" w:hAnsi="Arial" w:cs="Arial"/>
          <w:sz w:val="20"/>
          <w:szCs w:val="20"/>
        </w:rPr>
        <w:t>s</w:t>
      </w:r>
      <w:r w:rsidR="00460F1B" w:rsidRPr="008E3BF7">
        <w:rPr>
          <w:rFonts w:ascii="Arial" w:hAnsi="Arial" w:cs="Arial"/>
          <w:sz w:val="20"/>
          <w:szCs w:val="20"/>
        </w:rPr>
        <w:t xml:space="preserve"> presented in Table </w:t>
      </w:r>
      <w:r w:rsidR="00C6269E" w:rsidRPr="008E3BF7">
        <w:rPr>
          <w:rFonts w:ascii="Arial" w:hAnsi="Arial" w:cs="Arial"/>
          <w:sz w:val="20"/>
          <w:szCs w:val="20"/>
        </w:rPr>
        <w:t>2</w:t>
      </w:r>
      <w:r w:rsidR="00460F1B" w:rsidRPr="008E3BF7">
        <w:rPr>
          <w:rFonts w:ascii="Arial" w:hAnsi="Arial" w:cs="Arial"/>
          <w:sz w:val="20"/>
          <w:szCs w:val="20"/>
        </w:rPr>
        <w:t xml:space="preserve"> confirm that </w:t>
      </w:r>
      <w:r w:rsidR="00B844A9" w:rsidRPr="008E3BF7">
        <w:rPr>
          <w:rFonts w:ascii="Arial" w:hAnsi="Arial" w:cs="Arial"/>
          <w:sz w:val="20"/>
          <w:szCs w:val="20"/>
        </w:rPr>
        <w:t xml:space="preserve">controlling for other factors </w:t>
      </w:r>
      <w:r w:rsidR="001958D6" w:rsidRPr="008E3BF7">
        <w:rPr>
          <w:rFonts w:ascii="Arial" w:hAnsi="Arial" w:cs="Arial"/>
          <w:sz w:val="20"/>
          <w:szCs w:val="20"/>
        </w:rPr>
        <w:t xml:space="preserve">Sweden, Latvia and Finland were significantly less damaged compared to Austria </w:t>
      </w:r>
      <w:r w:rsidR="00C6269E" w:rsidRPr="008E3BF7">
        <w:rPr>
          <w:rFonts w:ascii="Arial" w:hAnsi="Arial" w:cs="Arial"/>
          <w:sz w:val="20"/>
          <w:szCs w:val="20"/>
        </w:rPr>
        <w:t>(</w:t>
      </w:r>
      <w:r w:rsidR="001958D6" w:rsidRPr="008E3BF7">
        <w:rPr>
          <w:rFonts w:ascii="Arial" w:hAnsi="Arial" w:cs="Arial"/>
          <w:sz w:val="20"/>
          <w:szCs w:val="20"/>
        </w:rPr>
        <w:t>the reference country representing the medium damage segment</w:t>
      </w:r>
      <w:r w:rsidR="00C6269E" w:rsidRPr="008E3BF7">
        <w:rPr>
          <w:rFonts w:ascii="Arial" w:hAnsi="Arial" w:cs="Arial"/>
          <w:sz w:val="20"/>
          <w:szCs w:val="20"/>
        </w:rPr>
        <w:t>)</w:t>
      </w:r>
      <w:r w:rsidR="001958D6" w:rsidRPr="008E3BF7">
        <w:rPr>
          <w:rFonts w:ascii="Arial" w:hAnsi="Arial" w:cs="Arial"/>
          <w:sz w:val="20"/>
          <w:szCs w:val="20"/>
        </w:rPr>
        <w:t xml:space="preserve">. </w:t>
      </w:r>
      <w:r w:rsidRPr="008E3BF7">
        <w:rPr>
          <w:rFonts w:ascii="Arial" w:hAnsi="Arial" w:cs="Arial"/>
          <w:sz w:val="20"/>
          <w:szCs w:val="20"/>
        </w:rPr>
        <w:t>Parameter estimates are consistently negative for Belgium, Italy, and Slovenia with some evidence of similarly unfavorable situation in Croatia</w:t>
      </w:r>
      <w:r w:rsidR="00C6269E" w:rsidRPr="008E3BF7">
        <w:rPr>
          <w:rFonts w:ascii="Arial" w:hAnsi="Arial" w:cs="Arial"/>
          <w:sz w:val="20"/>
          <w:szCs w:val="20"/>
        </w:rPr>
        <w:t xml:space="preserve">, </w:t>
      </w:r>
      <w:r w:rsidR="00C6269E" w:rsidRPr="008E3BF7">
        <w:rPr>
          <w:rFonts w:ascii="Arial" w:hAnsi="Arial" w:cs="Arial"/>
          <w:sz w:val="20"/>
          <w:szCs w:val="20"/>
        </w:rPr>
        <w:lastRenderedPageBreak/>
        <w:t>Czechia,</w:t>
      </w:r>
      <w:r w:rsidRPr="008E3BF7">
        <w:rPr>
          <w:rFonts w:ascii="Arial" w:hAnsi="Arial" w:cs="Arial"/>
          <w:sz w:val="20"/>
          <w:szCs w:val="20"/>
        </w:rPr>
        <w:t xml:space="preserve"> and Spain. Therefore, regression analysis results agree with the clustering results presented previously.</w:t>
      </w:r>
      <w:r w:rsidR="003F2A2D" w:rsidRPr="008E3BF7">
        <w:rPr>
          <w:rFonts w:ascii="Arial" w:hAnsi="Arial" w:cs="Arial"/>
          <w:sz w:val="20"/>
          <w:szCs w:val="20"/>
        </w:rPr>
        <w:t xml:space="preserve"> </w:t>
      </w:r>
      <w:r w:rsidR="00C6269E" w:rsidRPr="008E3BF7">
        <w:rPr>
          <w:rFonts w:ascii="Arial" w:hAnsi="Arial" w:cs="Arial"/>
          <w:sz w:val="20"/>
          <w:szCs w:val="20"/>
        </w:rPr>
        <w:t>According to a series of linear hypothesis tests, c</w:t>
      </w:r>
      <w:r w:rsidR="003F2A2D" w:rsidRPr="008E3BF7">
        <w:rPr>
          <w:rFonts w:ascii="Arial" w:hAnsi="Arial" w:cs="Arial"/>
          <w:sz w:val="20"/>
          <w:szCs w:val="20"/>
        </w:rPr>
        <w:t xml:space="preserve">ompared to April, in May the situation improved unsubstantially, but statistically significantly (at the 1% level according to specifications 1 and 2 and at the 10% level according to specifications 3 and 4). </w:t>
      </w:r>
      <w:r w:rsidR="002142D4" w:rsidRPr="008E3BF7">
        <w:rPr>
          <w:rFonts w:ascii="Arial" w:hAnsi="Arial" w:cs="Arial"/>
          <w:sz w:val="20"/>
          <w:szCs w:val="20"/>
        </w:rPr>
        <w:t>Percentage l</w:t>
      </w:r>
      <w:r w:rsidR="003F2A2D" w:rsidRPr="008E3BF7">
        <w:rPr>
          <w:rFonts w:ascii="Arial" w:hAnsi="Arial" w:cs="Arial"/>
          <w:sz w:val="20"/>
          <w:szCs w:val="20"/>
        </w:rPr>
        <w:t xml:space="preserve">osses in the number of nights spent by a country’s residents </w:t>
      </w:r>
      <w:r w:rsidR="002142D4" w:rsidRPr="008E3BF7">
        <w:rPr>
          <w:rFonts w:ascii="Arial" w:hAnsi="Arial" w:cs="Arial"/>
          <w:sz w:val="20"/>
          <w:szCs w:val="20"/>
        </w:rPr>
        <w:t xml:space="preserve">were, on average, around 10% smaller compared to those in the number of nights spent by foreign visitors. The hotel sector experienced around 5-7% larger losses than holiday and camping accommodations. </w:t>
      </w:r>
    </w:p>
    <w:p w14:paraId="78B669DF" w14:textId="09087CA9" w:rsidR="00343740" w:rsidRPr="008E3BF7" w:rsidRDefault="00343740" w:rsidP="00237322">
      <w:pPr>
        <w:spacing w:after="0" w:line="240" w:lineRule="auto"/>
        <w:ind w:firstLine="720"/>
        <w:jc w:val="both"/>
        <w:rPr>
          <w:rFonts w:ascii="Arial" w:hAnsi="Arial" w:cs="Arial"/>
          <w:sz w:val="20"/>
          <w:szCs w:val="20"/>
        </w:rPr>
      </w:pPr>
    </w:p>
    <w:p w14:paraId="25171389" w14:textId="05EC42FC" w:rsidR="00343740" w:rsidRPr="008E3BF7" w:rsidRDefault="00343740"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Table </w:t>
      </w:r>
      <w:r w:rsidR="00C6269E" w:rsidRPr="008E3BF7">
        <w:rPr>
          <w:rFonts w:ascii="Arial" w:hAnsi="Arial" w:cs="Arial"/>
          <w:sz w:val="20"/>
          <w:szCs w:val="20"/>
        </w:rPr>
        <w:t>2</w:t>
      </w:r>
      <w:r w:rsidRPr="008E3BF7">
        <w:rPr>
          <w:rFonts w:ascii="Arial" w:hAnsi="Arial" w:cs="Arial"/>
          <w:sz w:val="20"/>
          <w:szCs w:val="20"/>
        </w:rPr>
        <w:t>. Parameter estimates of OLS and logistic regressions</w:t>
      </w:r>
    </w:p>
    <w:tbl>
      <w:tblPr>
        <w:tblW w:w="9301" w:type="dxa"/>
        <w:jc w:val="center"/>
        <w:tblCellSpacing w:w="15" w:type="dxa"/>
        <w:tblCellMar>
          <w:top w:w="15" w:type="dxa"/>
          <w:left w:w="15" w:type="dxa"/>
          <w:bottom w:w="15" w:type="dxa"/>
          <w:right w:w="15" w:type="dxa"/>
        </w:tblCellMar>
        <w:tblLook w:val="04A0" w:firstRow="1" w:lastRow="0" w:firstColumn="1" w:lastColumn="0" w:noHBand="0" w:noVBand="1"/>
      </w:tblPr>
      <w:tblGrid>
        <w:gridCol w:w="1492"/>
        <w:gridCol w:w="1925"/>
        <w:gridCol w:w="2150"/>
        <w:gridCol w:w="1868"/>
        <w:gridCol w:w="1866"/>
      </w:tblGrid>
      <w:tr w:rsidR="002C43A8" w:rsidRPr="008E3BF7" w14:paraId="07F1C6B3" w14:textId="77777777" w:rsidTr="009F4971">
        <w:trPr>
          <w:trHeight w:val="16"/>
          <w:tblCellSpacing w:w="15" w:type="dxa"/>
          <w:jc w:val="center"/>
        </w:trPr>
        <w:tc>
          <w:tcPr>
            <w:tcW w:w="9241" w:type="dxa"/>
            <w:gridSpan w:val="5"/>
            <w:tcBorders>
              <w:bottom w:val="single" w:sz="6" w:space="0" w:color="000000"/>
            </w:tcBorders>
            <w:vAlign w:val="center"/>
            <w:hideMark/>
          </w:tcPr>
          <w:p w14:paraId="1FE3F9C5" w14:textId="77777777" w:rsidR="002C43A8" w:rsidRPr="008E3BF7" w:rsidRDefault="002C43A8" w:rsidP="00237322">
            <w:pPr>
              <w:spacing w:after="0" w:line="240" w:lineRule="auto"/>
              <w:jc w:val="both"/>
              <w:rPr>
                <w:rFonts w:ascii="Arial" w:eastAsia="Times New Roman" w:hAnsi="Arial" w:cs="Arial"/>
                <w:sz w:val="20"/>
                <w:szCs w:val="20"/>
              </w:rPr>
            </w:pPr>
          </w:p>
        </w:tc>
      </w:tr>
      <w:tr w:rsidR="002C43A8" w:rsidRPr="008E3BF7" w14:paraId="02024C87" w14:textId="77777777" w:rsidTr="009F4971">
        <w:trPr>
          <w:trHeight w:val="16"/>
          <w:tblCellSpacing w:w="15" w:type="dxa"/>
          <w:jc w:val="center"/>
        </w:trPr>
        <w:tc>
          <w:tcPr>
            <w:tcW w:w="0" w:type="auto"/>
            <w:vAlign w:val="center"/>
            <w:hideMark/>
          </w:tcPr>
          <w:p w14:paraId="6160631E" w14:textId="77777777" w:rsidR="002C43A8" w:rsidRPr="008E3BF7" w:rsidRDefault="002C43A8" w:rsidP="00237322">
            <w:pPr>
              <w:spacing w:after="0" w:line="240" w:lineRule="auto"/>
              <w:jc w:val="both"/>
              <w:rPr>
                <w:rFonts w:ascii="Arial" w:eastAsia="Times New Roman" w:hAnsi="Arial" w:cs="Arial"/>
                <w:sz w:val="16"/>
                <w:szCs w:val="16"/>
              </w:rPr>
            </w:pPr>
          </w:p>
        </w:tc>
        <w:tc>
          <w:tcPr>
            <w:tcW w:w="7423" w:type="dxa"/>
            <w:gridSpan w:val="4"/>
            <w:vAlign w:val="center"/>
            <w:hideMark/>
          </w:tcPr>
          <w:p w14:paraId="49C7688A"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i/>
                <w:iCs/>
                <w:sz w:val="16"/>
                <w:szCs w:val="16"/>
              </w:rPr>
              <w:t>Dependent variable:</w:t>
            </w:r>
          </w:p>
        </w:tc>
      </w:tr>
      <w:tr w:rsidR="002C43A8" w:rsidRPr="008E3BF7" w14:paraId="2D380124" w14:textId="77777777" w:rsidTr="009F4971">
        <w:trPr>
          <w:trHeight w:val="16"/>
          <w:tblCellSpacing w:w="15" w:type="dxa"/>
          <w:jc w:val="center"/>
        </w:trPr>
        <w:tc>
          <w:tcPr>
            <w:tcW w:w="0" w:type="auto"/>
            <w:vAlign w:val="center"/>
            <w:hideMark/>
          </w:tcPr>
          <w:p w14:paraId="2D3E9B14" w14:textId="77777777" w:rsidR="002C43A8" w:rsidRPr="008E3BF7" w:rsidRDefault="002C43A8" w:rsidP="00237322">
            <w:pPr>
              <w:spacing w:after="0" w:line="240" w:lineRule="auto"/>
              <w:jc w:val="both"/>
              <w:rPr>
                <w:rFonts w:ascii="Arial" w:eastAsia="Times New Roman" w:hAnsi="Arial" w:cs="Arial"/>
                <w:sz w:val="16"/>
                <w:szCs w:val="16"/>
              </w:rPr>
            </w:pPr>
          </w:p>
        </w:tc>
        <w:tc>
          <w:tcPr>
            <w:tcW w:w="7423" w:type="dxa"/>
            <w:gridSpan w:val="4"/>
            <w:tcBorders>
              <w:bottom w:val="single" w:sz="6" w:space="0" w:color="000000"/>
            </w:tcBorders>
            <w:vAlign w:val="center"/>
            <w:hideMark/>
          </w:tcPr>
          <w:p w14:paraId="55D02569" w14:textId="77777777" w:rsidR="002C43A8" w:rsidRPr="008E3BF7" w:rsidRDefault="002C43A8" w:rsidP="00237322">
            <w:pPr>
              <w:spacing w:after="0" w:line="240" w:lineRule="auto"/>
              <w:jc w:val="both"/>
              <w:rPr>
                <w:rFonts w:ascii="Arial" w:eastAsia="Times New Roman" w:hAnsi="Arial" w:cs="Arial"/>
                <w:b/>
                <w:bCs/>
                <w:sz w:val="16"/>
                <w:szCs w:val="16"/>
              </w:rPr>
            </w:pPr>
          </w:p>
        </w:tc>
      </w:tr>
      <w:tr w:rsidR="002C43A8" w:rsidRPr="008E3BF7" w14:paraId="0E5FC7A7" w14:textId="77777777" w:rsidTr="009F4971">
        <w:trPr>
          <w:trHeight w:val="16"/>
          <w:tblCellSpacing w:w="15" w:type="dxa"/>
          <w:jc w:val="center"/>
        </w:trPr>
        <w:tc>
          <w:tcPr>
            <w:tcW w:w="0" w:type="auto"/>
            <w:vAlign w:val="center"/>
            <w:hideMark/>
          </w:tcPr>
          <w:p w14:paraId="58908D4E" w14:textId="77777777" w:rsidR="002C43A8" w:rsidRPr="008E3BF7" w:rsidRDefault="002C43A8" w:rsidP="00237322">
            <w:pPr>
              <w:spacing w:after="0" w:line="240" w:lineRule="auto"/>
              <w:jc w:val="both"/>
              <w:rPr>
                <w:rFonts w:ascii="Arial" w:eastAsia="Times New Roman" w:hAnsi="Arial" w:cs="Arial"/>
                <w:sz w:val="16"/>
                <w:szCs w:val="16"/>
              </w:rPr>
            </w:pPr>
          </w:p>
        </w:tc>
        <w:tc>
          <w:tcPr>
            <w:tcW w:w="3867" w:type="dxa"/>
            <w:gridSpan w:val="2"/>
            <w:vAlign w:val="center"/>
            <w:hideMark/>
          </w:tcPr>
          <w:p w14:paraId="2317063C" w14:textId="7D95C684"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 xml:space="preserve">Estimated </w:t>
            </w:r>
            <w:r w:rsidR="001958D6" w:rsidRPr="008E3BF7">
              <w:rPr>
                <w:rFonts w:ascii="Arial" w:eastAsia="Times New Roman" w:hAnsi="Arial" w:cs="Arial"/>
                <w:b/>
                <w:bCs/>
                <w:sz w:val="16"/>
                <w:szCs w:val="16"/>
              </w:rPr>
              <w:t>loss</w:t>
            </w:r>
          </w:p>
          <w:p w14:paraId="3C89D143" w14:textId="74CC8C6E"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(continuous</w:t>
            </w:r>
            <w:r w:rsidR="00C6269E" w:rsidRPr="008E3BF7">
              <w:rPr>
                <w:rFonts w:ascii="Arial" w:eastAsia="Times New Roman" w:hAnsi="Arial" w:cs="Arial"/>
                <w:b/>
                <w:bCs/>
                <w:sz w:val="16"/>
                <w:szCs w:val="16"/>
              </w:rPr>
              <w:t>, &lt;0 for all observations</w:t>
            </w:r>
            <w:r w:rsidRPr="008E3BF7">
              <w:rPr>
                <w:rFonts w:ascii="Arial" w:eastAsia="Times New Roman" w:hAnsi="Arial" w:cs="Arial"/>
                <w:b/>
                <w:bCs/>
                <w:sz w:val="16"/>
                <w:szCs w:val="16"/>
              </w:rPr>
              <w:t>)</w:t>
            </w:r>
          </w:p>
        </w:tc>
        <w:tc>
          <w:tcPr>
            <w:tcW w:w="3526" w:type="dxa"/>
            <w:gridSpan w:val="2"/>
            <w:vMerge w:val="restart"/>
            <w:vAlign w:val="center"/>
            <w:hideMark/>
          </w:tcPr>
          <w:p w14:paraId="0AE5C5A5" w14:textId="7B6F0F55"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 xml:space="preserve">Estimated loss smaller </w:t>
            </w:r>
          </w:p>
          <w:p w14:paraId="1AB04C65" w14:textId="44826914"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than 67% (</w:t>
            </w:r>
            <w:r w:rsidR="00C6269E" w:rsidRPr="008E3BF7">
              <w:rPr>
                <w:rFonts w:ascii="Arial" w:eastAsia="Times New Roman" w:hAnsi="Arial" w:cs="Arial"/>
                <w:b/>
                <w:bCs/>
                <w:sz w:val="16"/>
                <w:szCs w:val="16"/>
              </w:rPr>
              <w:t>=1 if yes, =0 if no)</w:t>
            </w:r>
          </w:p>
          <w:p w14:paraId="0E2DCEB6" w14:textId="74C87C18" w:rsidR="00343740" w:rsidRPr="008E3BF7" w:rsidRDefault="00343740"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Logistic regression</w:t>
            </w:r>
          </w:p>
        </w:tc>
      </w:tr>
      <w:tr w:rsidR="002C43A8" w:rsidRPr="008E3BF7" w14:paraId="2979C4AE" w14:textId="77777777" w:rsidTr="009F4971">
        <w:trPr>
          <w:trHeight w:val="16"/>
          <w:tblCellSpacing w:w="15" w:type="dxa"/>
          <w:jc w:val="center"/>
        </w:trPr>
        <w:tc>
          <w:tcPr>
            <w:tcW w:w="0" w:type="auto"/>
            <w:vAlign w:val="center"/>
            <w:hideMark/>
          </w:tcPr>
          <w:p w14:paraId="0B7B199A" w14:textId="77777777" w:rsidR="002C43A8" w:rsidRPr="008E3BF7" w:rsidRDefault="002C43A8" w:rsidP="00237322">
            <w:pPr>
              <w:spacing w:after="0" w:line="240" w:lineRule="auto"/>
              <w:jc w:val="both"/>
              <w:rPr>
                <w:rFonts w:ascii="Arial" w:eastAsia="Times New Roman" w:hAnsi="Arial" w:cs="Arial"/>
                <w:sz w:val="16"/>
                <w:szCs w:val="16"/>
              </w:rPr>
            </w:pPr>
          </w:p>
        </w:tc>
        <w:tc>
          <w:tcPr>
            <w:tcW w:w="3867" w:type="dxa"/>
            <w:gridSpan w:val="2"/>
            <w:vAlign w:val="center"/>
            <w:hideMark/>
          </w:tcPr>
          <w:p w14:paraId="0C91EAD0"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i/>
                <w:iCs/>
                <w:sz w:val="16"/>
                <w:szCs w:val="16"/>
              </w:rPr>
              <w:t>OLS</w:t>
            </w:r>
          </w:p>
        </w:tc>
        <w:tc>
          <w:tcPr>
            <w:tcW w:w="3526" w:type="dxa"/>
            <w:gridSpan w:val="2"/>
            <w:vMerge/>
            <w:vAlign w:val="center"/>
            <w:hideMark/>
          </w:tcPr>
          <w:p w14:paraId="54E9D413" w14:textId="49C9DFEE" w:rsidR="002C43A8" w:rsidRPr="008E3BF7" w:rsidRDefault="002C43A8" w:rsidP="00237322">
            <w:pPr>
              <w:spacing w:after="0" w:line="240" w:lineRule="auto"/>
              <w:jc w:val="both"/>
              <w:rPr>
                <w:rFonts w:ascii="Arial" w:eastAsia="Times New Roman" w:hAnsi="Arial" w:cs="Arial"/>
                <w:b/>
                <w:bCs/>
                <w:sz w:val="16"/>
                <w:szCs w:val="16"/>
              </w:rPr>
            </w:pPr>
          </w:p>
        </w:tc>
      </w:tr>
      <w:tr w:rsidR="002C43A8" w:rsidRPr="008E3BF7" w14:paraId="3F86B150" w14:textId="77777777" w:rsidTr="009F4971">
        <w:trPr>
          <w:trHeight w:val="16"/>
          <w:tblCellSpacing w:w="15" w:type="dxa"/>
          <w:jc w:val="center"/>
        </w:trPr>
        <w:tc>
          <w:tcPr>
            <w:tcW w:w="0" w:type="auto"/>
            <w:vAlign w:val="center"/>
            <w:hideMark/>
          </w:tcPr>
          <w:p w14:paraId="3F7B10A4" w14:textId="77777777" w:rsidR="002C43A8" w:rsidRPr="008E3BF7" w:rsidRDefault="002C43A8" w:rsidP="00237322">
            <w:pPr>
              <w:spacing w:after="0" w:line="240" w:lineRule="auto"/>
              <w:jc w:val="both"/>
              <w:rPr>
                <w:rFonts w:ascii="Arial" w:eastAsia="Times New Roman" w:hAnsi="Arial" w:cs="Arial"/>
                <w:sz w:val="16"/>
                <w:szCs w:val="16"/>
              </w:rPr>
            </w:pPr>
          </w:p>
        </w:tc>
        <w:tc>
          <w:tcPr>
            <w:tcW w:w="1811" w:type="dxa"/>
            <w:vAlign w:val="center"/>
            <w:hideMark/>
          </w:tcPr>
          <w:p w14:paraId="2D09C925"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(1)</w:t>
            </w:r>
          </w:p>
          <w:p w14:paraId="6F3A3DB7" w14:textId="1A3CE429"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All observations</w:t>
            </w:r>
          </w:p>
        </w:tc>
        <w:tc>
          <w:tcPr>
            <w:tcW w:w="2025" w:type="dxa"/>
            <w:vAlign w:val="center"/>
            <w:hideMark/>
          </w:tcPr>
          <w:p w14:paraId="792312EA"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(2)</w:t>
            </w:r>
          </w:p>
          <w:p w14:paraId="162941E8" w14:textId="22860343" w:rsidR="002C43A8" w:rsidRPr="008E3BF7" w:rsidRDefault="00C6269E"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Subsample: u</w:t>
            </w:r>
            <w:r w:rsidR="002C43A8" w:rsidRPr="008E3BF7">
              <w:rPr>
                <w:rFonts w:ascii="Arial" w:eastAsia="Times New Roman" w:hAnsi="Arial" w:cs="Arial"/>
                <w:b/>
                <w:bCs/>
                <w:sz w:val="16"/>
                <w:szCs w:val="16"/>
              </w:rPr>
              <w:t xml:space="preserve">ncertainty </w:t>
            </w:r>
          </w:p>
          <w:p w14:paraId="64B4C2A4" w14:textId="7FBDEC0C" w:rsidR="002C43A8" w:rsidRPr="008E3BF7" w:rsidRDefault="00C6269E"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i</w:t>
            </w:r>
            <w:r w:rsidR="002C43A8" w:rsidRPr="008E3BF7">
              <w:rPr>
                <w:rFonts w:ascii="Arial" w:eastAsia="Times New Roman" w:hAnsi="Arial" w:cs="Arial"/>
                <w:b/>
                <w:bCs/>
                <w:sz w:val="16"/>
                <w:szCs w:val="16"/>
              </w:rPr>
              <w:t>nterval</w:t>
            </w:r>
            <w:r w:rsidR="009F4971" w:rsidRPr="008E3BF7">
              <w:rPr>
                <w:rFonts w:ascii="Arial" w:eastAsia="Times New Roman" w:hAnsi="Arial" w:cs="Arial"/>
                <w:b/>
                <w:bCs/>
                <w:sz w:val="16"/>
                <w:szCs w:val="16"/>
              </w:rPr>
              <w:t xml:space="preserve"> width</w:t>
            </w:r>
            <w:r w:rsidR="002C43A8" w:rsidRPr="008E3BF7">
              <w:rPr>
                <w:rFonts w:ascii="Arial" w:eastAsia="Times New Roman" w:hAnsi="Arial" w:cs="Arial"/>
                <w:b/>
                <w:bCs/>
                <w:sz w:val="16"/>
                <w:szCs w:val="16"/>
              </w:rPr>
              <w:t xml:space="preserve">≤20 </w:t>
            </w:r>
          </w:p>
          <w:p w14:paraId="285E8307" w14:textId="47D22A7C"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percentage points</w:t>
            </w:r>
          </w:p>
        </w:tc>
        <w:tc>
          <w:tcPr>
            <w:tcW w:w="1756" w:type="dxa"/>
            <w:vAlign w:val="center"/>
            <w:hideMark/>
          </w:tcPr>
          <w:p w14:paraId="3BEEB9C2"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(3)</w:t>
            </w:r>
          </w:p>
          <w:p w14:paraId="352D1EA5"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 xml:space="preserve">All </w:t>
            </w:r>
          </w:p>
          <w:p w14:paraId="4CD56C99" w14:textId="27BDBDF5"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observations</w:t>
            </w:r>
          </w:p>
        </w:tc>
        <w:tc>
          <w:tcPr>
            <w:tcW w:w="1740" w:type="dxa"/>
            <w:vAlign w:val="center"/>
            <w:hideMark/>
          </w:tcPr>
          <w:p w14:paraId="1612A2ED"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(4)</w:t>
            </w:r>
          </w:p>
          <w:p w14:paraId="217A63F3" w14:textId="52517328" w:rsidR="002C43A8" w:rsidRPr="008E3BF7" w:rsidRDefault="00C6269E"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Subsample: u</w:t>
            </w:r>
            <w:r w:rsidR="002C43A8" w:rsidRPr="008E3BF7">
              <w:rPr>
                <w:rFonts w:ascii="Arial" w:eastAsia="Times New Roman" w:hAnsi="Arial" w:cs="Arial"/>
                <w:b/>
                <w:bCs/>
                <w:sz w:val="16"/>
                <w:szCs w:val="16"/>
              </w:rPr>
              <w:t xml:space="preserve">ncertainty </w:t>
            </w:r>
          </w:p>
          <w:p w14:paraId="6F593186" w14:textId="5047D561" w:rsidR="002C43A8" w:rsidRPr="008E3BF7" w:rsidRDefault="00C6269E"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i</w:t>
            </w:r>
            <w:r w:rsidR="002C43A8" w:rsidRPr="008E3BF7">
              <w:rPr>
                <w:rFonts w:ascii="Arial" w:eastAsia="Times New Roman" w:hAnsi="Arial" w:cs="Arial"/>
                <w:b/>
                <w:bCs/>
                <w:sz w:val="16"/>
                <w:szCs w:val="16"/>
              </w:rPr>
              <w:t>nterval</w:t>
            </w:r>
            <w:r w:rsidR="009F4971" w:rsidRPr="008E3BF7">
              <w:rPr>
                <w:rFonts w:ascii="Arial" w:eastAsia="Times New Roman" w:hAnsi="Arial" w:cs="Arial"/>
                <w:b/>
                <w:bCs/>
                <w:sz w:val="16"/>
                <w:szCs w:val="16"/>
              </w:rPr>
              <w:t xml:space="preserve"> width</w:t>
            </w:r>
            <w:r w:rsidR="002C43A8" w:rsidRPr="008E3BF7">
              <w:rPr>
                <w:rFonts w:ascii="Arial" w:eastAsia="Times New Roman" w:hAnsi="Arial" w:cs="Arial"/>
                <w:b/>
                <w:bCs/>
                <w:sz w:val="16"/>
                <w:szCs w:val="16"/>
              </w:rPr>
              <w:t xml:space="preserve">≤20 </w:t>
            </w:r>
          </w:p>
          <w:p w14:paraId="388F54C9" w14:textId="77777777" w:rsidR="002C43A8" w:rsidRPr="008E3BF7" w:rsidRDefault="002C43A8"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sz w:val="16"/>
                <w:szCs w:val="16"/>
              </w:rPr>
              <w:t>percentage points</w:t>
            </w:r>
          </w:p>
          <w:p w14:paraId="32B4073E" w14:textId="341584AB" w:rsidR="00C6269E" w:rsidRPr="008E3BF7" w:rsidRDefault="00C6269E" w:rsidP="00237322">
            <w:pPr>
              <w:spacing w:after="0" w:line="240" w:lineRule="auto"/>
              <w:jc w:val="both"/>
              <w:rPr>
                <w:rFonts w:ascii="Arial" w:eastAsia="Times New Roman" w:hAnsi="Arial" w:cs="Arial"/>
                <w:b/>
                <w:bCs/>
                <w:sz w:val="16"/>
                <w:szCs w:val="16"/>
              </w:rPr>
            </w:pPr>
          </w:p>
        </w:tc>
      </w:tr>
      <w:tr w:rsidR="002C43A8" w:rsidRPr="008E3BF7" w14:paraId="0095A70E" w14:textId="77777777" w:rsidTr="009F4971">
        <w:trPr>
          <w:trHeight w:val="16"/>
          <w:tblCellSpacing w:w="15" w:type="dxa"/>
          <w:jc w:val="center"/>
        </w:trPr>
        <w:tc>
          <w:tcPr>
            <w:tcW w:w="9241" w:type="dxa"/>
            <w:gridSpan w:val="5"/>
            <w:tcBorders>
              <w:bottom w:val="single" w:sz="6" w:space="0" w:color="000000"/>
            </w:tcBorders>
            <w:vAlign w:val="center"/>
            <w:hideMark/>
          </w:tcPr>
          <w:p w14:paraId="2D4D1119" w14:textId="77777777" w:rsidR="002C43A8" w:rsidRPr="008E3BF7" w:rsidRDefault="002C43A8" w:rsidP="00237322">
            <w:pPr>
              <w:spacing w:after="0" w:line="240" w:lineRule="auto"/>
              <w:jc w:val="both"/>
              <w:rPr>
                <w:rFonts w:ascii="Arial" w:eastAsia="Times New Roman" w:hAnsi="Arial" w:cs="Arial"/>
                <w:sz w:val="16"/>
                <w:szCs w:val="16"/>
              </w:rPr>
            </w:pPr>
          </w:p>
        </w:tc>
      </w:tr>
      <w:tr w:rsidR="001958D6" w:rsidRPr="008E3BF7" w14:paraId="7951D1FF" w14:textId="77777777" w:rsidTr="009F4971">
        <w:trPr>
          <w:trHeight w:val="16"/>
          <w:tblCellSpacing w:w="15" w:type="dxa"/>
          <w:jc w:val="center"/>
        </w:trPr>
        <w:tc>
          <w:tcPr>
            <w:tcW w:w="9241" w:type="dxa"/>
            <w:gridSpan w:val="5"/>
            <w:vAlign w:val="center"/>
          </w:tcPr>
          <w:p w14:paraId="33204DB4" w14:textId="3F4975CD" w:rsidR="001958D6" w:rsidRPr="008E3BF7" w:rsidRDefault="001958D6" w:rsidP="00237322">
            <w:pPr>
              <w:spacing w:after="0" w:line="240" w:lineRule="auto"/>
              <w:jc w:val="both"/>
              <w:rPr>
                <w:rFonts w:ascii="Arial" w:eastAsia="Times New Roman" w:hAnsi="Arial" w:cs="Arial"/>
                <w:b/>
                <w:bCs/>
                <w:sz w:val="16"/>
                <w:szCs w:val="16"/>
              </w:rPr>
            </w:pPr>
            <w:r w:rsidRPr="008E3BF7">
              <w:rPr>
                <w:rFonts w:ascii="Arial" w:eastAsia="Times New Roman" w:hAnsi="Arial" w:cs="Arial"/>
                <w:b/>
                <w:bCs/>
                <w:i/>
                <w:iCs/>
                <w:sz w:val="16"/>
                <w:szCs w:val="16"/>
              </w:rPr>
              <w:t>Country (reference category: Austria)</w:t>
            </w:r>
          </w:p>
        </w:tc>
      </w:tr>
      <w:tr w:rsidR="007B51A5" w:rsidRPr="008E3BF7" w14:paraId="73BD63B7" w14:textId="77777777" w:rsidTr="009F4971">
        <w:trPr>
          <w:trHeight w:val="16"/>
          <w:tblCellSpacing w:w="15" w:type="dxa"/>
          <w:jc w:val="center"/>
        </w:trPr>
        <w:tc>
          <w:tcPr>
            <w:tcW w:w="0" w:type="auto"/>
            <w:vAlign w:val="center"/>
            <w:hideMark/>
          </w:tcPr>
          <w:p w14:paraId="083675B1" w14:textId="3356DC1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Belgium</w:t>
            </w:r>
          </w:p>
        </w:tc>
        <w:tc>
          <w:tcPr>
            <w:tcW w:w="1811" w:type="dxa"/>
            <w:vAlign w:val="center"/>
            <w:hideMark/>
          </w:tcPr>
          <w:p w14:paraId="2C4DC438" w14:textId="783EBC6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-7.87</w:t>
            </w:r>
            <w:r w:rsidRPr="008E3BF7">
              <w:rPr>
                <w:rFonts w:ascii="Arial" w:eastAsia="Times New Roman" w:hAnsi="Arial" w:cs="Arial"/>
                <w:sz w:val="16"/>
                <w:szCs w:val="16"/>
                <w:vertAlign w:val="superscript"/>
              </w:rPr>
              <w:t>***</w:t>
            </w:r>
          </w:p>
        </w:tc>
        <w:tc>
          <w:tcPr>
            <w:tcW w:w="2025" w:type="dxa"/>
            <w:vAlign w:val="center"/>
            <w:hideMark/>
          </w:tcPr>
          <w:p w14:paraId="3E6D712C" w14:textId="20BA6AC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-8.96</w:t>
            </w:r>
            <w:r w:rsidRPr="008E3BF7">
              <w:rPr>
                <w:rFonts w:ascii="Arial" w:eastAsia="Times New Roman" w:hAnsi="Arial" w:cs="Arial"/>
                <w:sz w:val="16"/>
                <w:szCs w:val="16"/>
                <w:vertAlign w:val="superscript"/>
              </w:rPr>
              <w:t>***</w:t>
            </w:r>
          </w:p>
        </w:tc>
        <w:tc>
          <w:tcPr>
            <w:tcW w:w="1756" w:type="dxa"/>
            <w:vAlign w:val="center"/>
            <w:hideMark/>
          </w:tcPr>
          <w:p w14:paraId="079B787F" w14:textId="2815742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-3.24</w:t>
            </w:r>
            <w:r w:rsidRPr="008E3BF7">
              <w:rPr>
                <w:rFonts w:ascii="Arial" w:eastAsia="Times New Roman" w:hAnsi="Arial" w:cs="Arial"/>
                <w:sz w:val="16"/>
                <w:szCs w:val="16"/>
                <w:vertAlign w:val="superscript"/>
              </w:rPr>
              <w:t>*</w:t>
            </w:r>
          </w:p>
        </w:tc>
        <w:tc>
          <w:tcPr>
            <w:tcW w:w="1740" w:type="dxa"/>
            <w:vAlign w:val="center"/>
            <w:hideMark/>
          </w:tcPr>
          <w:p w14:paraId="726A5149" w14:textId="331947D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-6.56</w:t>
            </w:r>
            <w:r w:rsidRPr="008E3BF7">
              <w:rPr>
                <w:rFonts w:ascii="Arial" w:eastAsia="Times New Roman" w:hAnsi="Arial" w:cs="Arial"/>
                <w:sz w:val="16"/>
                <w:szCs w:val="16"/>
                <w:vertAlign w:val="superscript"/>
              </w:rPr>
              <w:t>***</w:t>
            </w:r>
          </w:p>
        </w:tc>
      </w:tr>
      <w:tr w:rsidR="007B51A5" w:rsidRPr="008E3BF7" w14:paraId="381A85D1" w14:textId="77777777" w:rsidTr="009F4971">
        <w:trPr>
          <w:trHeight w:val="16"/>
          <w:tblCellSpacing w:w="15" w:type="dxa"/>
          <w:jc w:val="center"/>
        </w:trPr>
        <w:tc>
          <w:tcPr>
            <w:tcW w:w="0" w:type="auto"/>
            <w:vAlign w:val="center"/>
            <w:hideMark/>
          </w:tcPr>
          <w:p w14:paraId="43A7499C" w14:textId="2647431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Croatia</w:t>
            </w:r>
          </w:p>
        </w:tc>
        <w:tc>
          <w:tcPr>
            <w:tcW w:w="1811" w:type="dxa"/>
            <w:vAlign w:val="center"/>
            <w:hideMark/>
          </w:tcPr>
          <w:p w14:paraId="03BFAF55" w14:textId="414491C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-4.61</w:t>
            </w:r>
          </w:p>
        </w:tc>
        <w:tc>
          <w:tcPr>
            <w:tcW w:w="2025" w:type="dxa"/>
            <w:vAlign w:val="center"/>
            <w:hideMark/>
          </w:tcPr>
          <w:p w14:paraId="6BB5F232" w14:textId="0AF2623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-3.21</w:t>
            </w:r>
          </w:p>
        </w:tc>
        <w:tc>
          <w:tcPr>
            <w:tcW w:w="1756" w:type="dxa"/>
            <w:vAlign w:val="center"/>
            <w:hideMark/>
          </w:tcPr>
          <w:p w14:paraId="3E194959" w14:textId="0C7AB93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-3.24</w:t>
            </w:r>
            <w:r w:rsidRPr="008E3BF7">
              <w:rPr>
                <w:rFonts w:ascii="Arial" w:eastAsia="Times New Roman" w:hAnsi="Arial" w:cs="Arial"/>
                <w:sz w:val="16"/>
                <w:szCs w:val="16"/>
                <w:vertAlign w:val="superscript"/>
              </w:rPr>
              <w:t>**</w:t>
            </w:r>
          </w:p>
        </w:tc>
        <w:tc>
          <w:tcPr>
            <w:tcW w:w="1740" w:type="dxa"/>
            <w:vAlign w:val="center"/>
            <w:hideMark/>
          </w:tcPr>
          <w:p w14:paraId="6B1FA56F" w14:textId="1C6D6C3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-5.22</w:t>
            </w:r>
            <w:r w:rsidRPr="008E3BF7">
              <w:rPr>
                <w:rFonts w:ascii="Arial" w:eastAsia="Times New Roman" w:hAnsi="Arial" w:cs="Arial"/>
                <w:sz w:val="16"/>
                <w:szCs w:val="16"/>
                <w:vertAlign w:val="superscript"/>
              </w:rPr>
              <w:t>***</w:t>
            </w:r>
          </w:p>
        </w:tc>
      </w:tr>
      <w:tr w:rsidR="007B51A5" w:rsidRPr="008E3BF7" w14:paraId="022F6493" w14:textId="77777777" w:rsidTr="009F4971">
        <w:trPr>
          <w:trHeight w:val="16"/>
          <w:tblCellSpacing w:w="15" w:type="dxa"/>
          <w:jc w:val="center"/>
        </w:trPr>
        <w:tc>
          <w:tcPr>
            <w:tcW w:w="0" w:type="auto"/>
            <w:vAlign w:val="center"/>
            <w:hideMark/>
          </w:tcPr>
          <w:p w14:paraId="6C8C6B61" w14:textId="16E59B2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Czechia</w:t>
            </w:r>
          </w:p>
        </w:tc>
        <w:tc>
          <w:tcPr>
            <w:tcW w:w="1811" w:type="dxa"/>
            <w:vAlign w:val="center"/>
            <w:hideMark/>
          </w:tcPr>
          <w:p w14:paraId="62005AE0" w14:textId="4418D79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-3.16</w:t>
            </w:r>
          </w:p>
        </w:tc>
        <w:tc>
          <w:tcPr>
            <w:tcW w:w="2025" w:type="dxa"/>
            <w:vAlign w:val="center"/>
            <w:hideMark/>
          </w:tcPr>
          <w:p w14:paraId="42AB4048" w14:textId="147F567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-1.31</w:t>
            </w:r>
          </w:p>
        </w:tc>
        <w:tc>
          <w:tcPr>
            <w:tcW w:w="1756" w:type="dxa"/>
            <w:vAlign w:val="center"/>
            <w:hideMark/>
          </w:tcPr>
          <w:p w14:paraId="3ECDDC21" w14:textId="28D8001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-2.16</w:t>
            </w:r>
            <w:r w:rsidRPr="008E3BF7">
              <w:rPr>
                <w:rFonts w:ascii="Arial" w:eastAsia="Times New Roman" w:hAnsi="Arial" w:cs="Arial"/>
                <w:sz w:val="16"/>
                <w:szCs w:val="16"/>
                <w:vertAlign w:val="superscript"/>
              </w:rPr>
              <w:t>*</w:t>
            </w:r>
          </w:p>
        </w:tc>
        <w:tc>
          <w:tcPr>
            <w:tcW w:w="1740" w:type="dxa"/>
            <w:vAlign w:val="center"/>
            <w:hideMark/>
          </w:tcPr>
          <w:p w14:paraId="7A82ACE2" w14:textId="57FC004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-3.95</w:t>
            </w:r>
            <w:r w:rsidRPr="008E3BF7">
              <w:rPr>
                <w:rFonts w:ascii="Arial" w:eastAsia="Times New Roman" w:hAnsi="Arial" w:cs="Arial"/>
                <w:sz w:val="16"/>
                <w:szCs w:val="16"/>
                <w:vertAlign w:val="superscript"/>
              </w:rPr>
              <w:t>***</w:t>
            </w:r>
          </w:p>
        </w:tc>
      </w:tr>
      <w:tr w:rsidR="007B51A5" w:rsidRPr="008E3BF7" w14:paraId="3289F75E" w14:textId="77777777" w:rsidTr="009F4971">
        <w:trPr>
          <w:trHeight w:val="16"/>
          <w:tblCellSpacing w:w="15" w:type="dxa"/>
          <w:jc w:val="center"/>
        </w:trPr>
        <w:tc>
          <w:tcPr>
            <w:tcW w:w="0" w:type="auto"/>
            <w:vAlign w:val="center"/>
            <w:hideMark/>
          </w:tcPr>
          <w:p w14:paraId="6F32024A" w14:textId="017EF4A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Denmark</w:t>
            </w:r>
          </w:p>
        </w:tc>
        <w:tc>
          <w:tcPr>
            <w:tcW w:w="1811" w:type="dxa"/>
            <w:vAlign w:val="center"/>
            <w:hideMark/>
          </w:tcPr>
          <w:p w14:paraId="6C8EB523" w14:textId="345C2B4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8.30</w:t>
            </w:r>
          </w:p>
        </w:tc>
        <w:tc>
          <w:tcPr>
            <w:tcW w:w="2025" w:type="dxa"/>
            <w:vAlign w:val="center"/>
            <w:hideMark/>
          </w:tcPr>
          <w:p w14:paraId="39C7F1FB" w14:textId="19FF57D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6.27</w:t>
            </w:r>
          </w:p>
        </w:tc>
        <w:tc>
          <w:tcPr>
            <w:tcW w:w="1756" w:type="dxa"/>
            <w:vAlign w:val="center"/>
            <w:hideMark/>
          </w:tcPr>
          <w:p w14:paraId="469B042C" w14:textId="03C36F7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-0.00</w:t>
            </w:r>
          </w:p>
        </w:tc>
        <w:tc>
          <w:tcPr>
            <w:tcW w:w="1740" w:type="dxa"/>
            <w:vAlign w:val="center"/>
            <w:hideMark/>
          </w:tcPr>
          <w:p w14:paraId="43FBEB98" w14:textId="72B9219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-2.51</w:t>
            </w:r>
          </w:p>
        </w:tc>
      </w:tr>
      <w:tr w:rsidR="007B51A5" w:rsidRPr="008E3BF7" w14:paraId="750977FE" w14:textId="77777777" w:rsidTr="009F4971">
        <w:trPr>
          <w:trHeight w:val="16"/>
          <w:tblCellSpacing w:w="15" w:type="dxa"/>
          <w:jc w:val="center"/>
        </w:trPr>
        <w:tc>
          <w:tcPr>
            <w:tcW w:w="0" w:type="auto"/>
            <w:vAlign w:val="center"/>
            <w:hideMark/>
          </w:tcPr>
          <w:p w14:paraId="71E3A01F" w14:textId="7E7D56D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Finland</w:t>
            </w:r>
          </w:p>
        </w:tc>
        <w:tc>
          <w:tcPr>
            <w:tcW w:w="1811" w:type="dxa"/>
            <w:vAlign w:val="center"/>
            <w:hideMark/>
          </w:tcPr>
          <w:p w14:paraId="4482B056" w14:textId="2772289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20.38</w:t>
            </w:r>
            <w:r w:rsidRPr="008E3BF7">
              <w:rPr>
                <w:rFonts w:ascii="Arial" w:eastAsia="Times New Roman" w:hAnsi="Arial" w:cs="Arial"/>
                <w:sz w:val="16"/>
                <w:szCs w:val="16"/>
                <w:vertAlign w:val="superscript"/>
              </w:rPr>
              <w:t>***</w:t>
            </w:r>
          </w:p>
        </w:tc>
        <w:tc>
          <w:tcPr>
            <w:tcW w:w="2025" w:type="dxa"/>
            <w:vAlign w:val="center"/>
            <w:hideMark/>
          </w:tcPr>
          <w:p w14:paraId="64B39C72" w14:textId="2FFFEF1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12.73</w:t>
            </w:r>
            <w:r w:rsidRPr="008E3BF7">
              <w:rPr>
                <w:rFonts w:ascii="Arial" w:eastAsia="Times New Roman" w:hAnsi="Arial" w:cs="Arial"/>
                <w:sz w:val="16"/>
                <w:szCs w:val="16"/>
                <w:vertAlign w:val="superscript"/>
              </w:rPr>
              <w:t>***</w:t>
            </w:r>
          </w:p>
        </w:tc>
        <w:tc>
          <w:tcPr>
            <w:tcW w:w="1756" w:type="dxa"/>
            <w:vAlign w:val="center"/>
            <w:hideMark/>
          </w:tcPr>
          <w:p w14:paraId="5985AD03" w14:textId="2C350B6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2.13</w:t>
            </w:r>
            <w:r w:rsidRPr="008E3BF7">
              <w:rPr>
                <w:rFonts w:ascii="Arial" w:eastAsia="Times New Roman" w:hAnsi="Arial" w:cs="Arial"/>
                <w:sz w:val="16"/>
                <w:szCs w:val="16"/>
                <w:vertAlign w:val="superscript"/>
              </w:rPr>
              <w:t>*</w:t>
            </w:r>
          </w:p>
        </w:tc>
        <w:tc>
          <w:tcPr>
            <w:tcW w:w="1740" w:type="dxa"/>
            <w:vAlign w:val="center"/>
            <w:hideMark/>
          </w:tcPr>
          <w:p w14:paraId="784B1FA2" w14:textId="14A5370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1.34</w:t>
            </w:r>
          </w:p>
        </w:tc>
      </w:tr>
      <w:tr w:rsidR="007B51A5" w:rsidRPr="008E3BF7" w14:paraId="74175B91" w14:textId="77777777" w:rsidTr="009F4971">
        <w:trPr>
          <w:trHeight w:val="16"/>
          <w:tblCellSpacing w:w="15" w:type="dxa"/>
          <w:jc w:val="center"/>
        </w:trPr>
        <w:tc>
          <w:tcPr>
            <w:tcW w:w="0" w:type="auto"/>
            <w:vAlign w:val="center"/>
            <w:hideMark/>
          </w:tcPr>
          <w:p w14:paraId="074D4C14" w14:textId="2978F5E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Germany</w:t>
            </w:r>
          </w:p>
        </w:tc>
        <w:tc>
          <w:tcPr>
            <w:tcW w:w="1811" w:type="dxa"/>
            <w:vAlign w:val="center"/>
            <w:hideMark/>
          </w:tcPr>
          <w:p w14:paraId="3B6C5808" w14:textId="46ADF0D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2.52</w:t>
            </w:r>
          </w:p>
        </w:tc>
        <w:tc>
          <w:tcPr>
            <w:tcW w:w="2025" w:type="dxa"/>
            <w:vAlign w:val="center"/>
            <w:hideMark/>
          </w:tcPr>
          <w:p w14:paraId="467A10A9" w14:textId="2EF8526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3.54</w:t>
            </w:r>
          </w:p>
        </w:tc>
        <w:tc>
          <w:tcPr>
            <w:tcW w:w="1756" w:type="dxa"/>
            <w:vAlign w:val="center"/>
            <w:hideMark/>
          </w:tcPr>
          <w:p w14:paraId="53DDF07F" w14:textId="2A850E4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-0.65</w:t>
            </w:r>
          </w:p>
        </w:tc>
        <w:tc>
          <w:tcPr>
            <w:tcW w:w="1740" w:type="dxa"/>
            <w:vAlign w:val="center"/>
            <w:hideMark/>
          </w:tcPr>
          <w:p w14:paraId="04600E75" w14:textId="7198BA5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-1.12</w:t>
            </w:r>
          </w:p>
        </w:tc>
      </w:tr>
      <w:tr w:rsidR="007B51A5" w:rsidRPr="008E3BF7" w14:paraId="27BEBC45" w14:textId="77777777" w:rsidTr="009F4971">
        <w:trPr>
          <w:trHeight w:val="16"/>
          <w:tblCellSpacing w:w="15" w:type="dxa"/>
          <w:jc w:val="center"/>
        </w:trPr>
        <w:tc>
          <w:tcPr>
            <w:tcW w:w="0" w:type="auto"/>
            <w:vAlign w:val="center"/>
            <w:hideMark/>
          </w:tcPr>
          <w:p w14:paraId="3F20CB4D" w14:textId="207DAFA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Hungary</w:t>
            </w:r>
          </w:p>
        </w:tc>
        <w:tc>
          <w:tcPr>
            <w:tcW w:w="1811" w:type="dxa"/>
            <w:vAlign w:val="center"/>
            <w:hideMark/>
          </w:tcPr>
          <w:p w14:paraId="68242C1A" w14:textId="6FBEAB0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-1.33</w:t>
            </w:r>
          </w:p>
        </w:tc>
        <w:tc>
          <w:tcPr>
            <w:tcW w:w="2025" w:type="dxa"/>
            <w:vAlign w:val="center"/>
            <w:hideMark/>
          </w:tcPr>
          <w:p w14:paraId="4EBCC733" w14:textId="3AB1C31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-2.66</w:t>
            </w:r>
          </w:p>
        </w:tc>
        <w:tc>
          <w:tcPr>
            <w:tcW w:w="1756" w:type="dxa"/>
            <w:vAlign w:val="center"/>
            <w:hideMark/>
          </w:tcPr>
          <w:p w14:paraId="3B32BCA1" w14:textId="596199F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-1.36</w:t>
            </w:r>
          </w:p>
        </w:tc>
        <w:tc>
          <w:tcPr>
            <w:tcW w:w="1740" w:type="dxa"/>
            <w:vAlign w:val="center"/>
            <w:hideMark/>
          </w:tcPr>
          <w:p w14:paraId="247B42CF" w14:textId="641D7DB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-2.44</w:t>
            </w:r>
            <w:r w:rsidRPr="008E3BF7">
              <w:rPr>
                <w:rFonts w:ascii="Arial" w:eastAsia="Times New Roman" w:hAnsi="Arial" w:cs="Arial"/>
                <w:sz w:val="16"/>
                <w:szCs w:val="16"/>
                <w:vertAlign w:val="superscript"/>
              </w:rPr>
              <w:t>**</w:t>
            </w:r>
          </w:p>
        </w:tc>
      </w:tr>
      <w:tr w:rsidR="007B51A5" w:rsidRPr="008E3BF7" w14:paraId="38E01EEA" w14:textId="77777777" w:rsidTr="009F4971">
        <w:trPr>
          <w:trHeight w:val="16"/>
          <w:tblCellSpacing w:w="15" w:type="dxa"/>
          <w:jc w:val="center"/>
        </w:trPr>
        <w:tc>
          <w:tcPr>
            <w:tcW w:w="0" w:type="auto"/>
            <w:vAlign w:val="center"/>
            <w:hideMark/>
          </w:tcPr>
          <w:p w14:paraId="5B4957F7" w14:textId="10C8574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Italy</w:t>
            </w:r>
          </w:p>
        </w:tc>
        <w:tc>
          <w:tcPr>
            <w:tcW w:w="1811" w:type="dxa"/>
            <w:vAlign w:val="center"/>
            <w:hideMark/>
          </w:tcPr>
          <w:p w14:paraId="27C081B6" w14:textId="1EDDCEC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-6.31</w:t>
            </w:r>
            <w:r w:rsidRPr="008E3BF7">
              <w:rPr>
                <w:rFonts w:ascii="Arial" w:eastAsia="Times New Roman" w:hAnsi="Arial" w:cs="Arial"/>
                <w:sz w:val="16"/>
                <w:szCs w:val="16"/>
                <w:vertAlign w:val="superscript"/>
              </w:rPr>
              <w:t>**</w:t>
            </w:r>
          </w:p>
        </w:tc>
        <w:tc>
          <w:tcPr>
            <w:tcW w:w="2025" w:type="dxa"/>
            <w:vAlign w:val="center"/>
            <w:hideMark/>
          </w:tcPr>
          <w:p w14:paraId="1F3CFAEF" w14:textId="64728E3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-4.94</w:t>
            </w:r>
            <w:r w:rsidRPr="008E3BF7">
              <w:rPr>
                <w:rFonts w:ascii="Arial" w:eastAsia="Times New Roman" w:hAnsi="Arial" w:cs="Arial"/>
                <w:sz w:val="16"/>
                <w:szCs w:val="16"/>
                <w:vertAlign w:val="superscript"/>
              </w:rPr>
              <w:t>*</w:t>
            </w:r>
          </w:p>
        </w:tc>
        <w:tc>
          <w:tcPr>
            <w:tcW w:w="1756" w:type="dxa"/>
            <w:vAlign w:val="center"/>
            <w:hideMark/>
          </w:tcPr>
          <w:p w14:paraId="0173782C" w14:textId="280FE2B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-3.24</w:t>
            </w:r>
            <w:r w:rsidRPr="008E3BF7">
              <w:rPr>
                <w:rFonts w:ascii="Arial" w:eastAsia="Times New Roman" w:hAnsi="Arial" w:cs="Arial"/>
                <w:sz w:val="16"/>
                <w:szCs w:val="16"/>
                <w:vertAlign w:val="superscript"/>
              </w:rPr>
              <w:t>**</w:t>
            </w:r>
          </w:p>
        </w:tc>
        <w:tc>
          <w:tcPr>
            <w:tcW w:w="1740" w:type="dxa"/>
            <w:vAlign w:val="center"/>
            <w:hideMark/>
          </w:tcPr>
          <w:p w14:paraId="45D5DF30" w14:textId="1344B83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-5.53</w:t>
            </w:r>
            <w:r w:rsidRPr="008E3BF7">
              <w:rPr>
                <w:rFonts w:ascii="Arial" w:eastAsia="Times New Roman" w:hAnsi="Arial" w:cs="Arial"/>
                <w:sz w:val="16"/>
                <w:szCs w:val="16"/>
                <w:vertAlign w:val="superscript"/>
              </w:rPr>
              <w:t>***</w:t>
            </w:r>
          </w:p>
        </w:tc>
      </w:tr>
      <w:tr w:rsidR="007B51A5" w:rsidRPr="008E3BF7" w14:paraId="454DBC28" w14:textId="77777777" w:rsidTr="009F4971">
        <w:trPr>
          <w:trHeight w:val="16"/>
          <w:tblCellSpacing w:w="15" w:type="dxa"/>
          <w:jc w:val="center"/>
        </w:trPr>
        <w:tc>
          <w:tcPr>
            <w:tcW w:w="0" w:type="auto"/>
            <w:vAlign w:val="center"/>
            <w:hideMark/>
          </w:tcPr>
          <w:p w14:paraId="090EBA39" w14:textId="4979852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Latvia</w:t>
            </w:r>
          </w:p>
        </w:tc>
        <w:tc>
          <w:tcPr>
            <w:tcW w:w="1811" w:type="dxa"/>
            <w:vAlign w:val="center"/>
            <w:hideMark/>
          </w:tcPr>
          <w:p w14:paraId="150ACD90" w14:textId="4CA9AF8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18.48</w:t>
            </w:r>
            <w:r w:rsidRPr="008E3BF7">
              <w:rPr>
                <w:rFonts w:ascii="Arial" w:eastAsia="Times New Roman" w:hAnsi="Arial" w:cs="Arial"/>
                <w:sz w:val="16"/>
                <w:szCs w:val="16"/>
                <w:vertAlign w:val="superscript"/>
              </w:rPr>
              <w:t>***</w:t>
            </w:r>
          </w:p>
        </w:tc>
        <w:tc>
          <w:tcPr>
            <w:tcW w:w="2025" w:type="dxa"/>
            <w:vAlign w:val="center"/>
            <w:hideMark/>
          </w:tcPr>
          <w:p w14:paraId="5A7CD145" w14:textId="5ABA2EF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19.27</w:t>
            </w:r>
            <w:r w:rsidRPr="008E3BF7">
              <w:rPr>
                <w:rFonts w:ascii="Arial" w:eastAsia="Times New Roman" w:hAnsi="Arial" w:cs="Arial"/>
                <w:sz w:val="16"/>
                <w:szCs w:val="16"/>
                <w:vertAlign w:val="superscript"/>
              </w:rPr>
              <w:t>***</w:t>
            </w:r>
          </w:p>
        </w:tc>
        <w:tc>
          <w:tcPr>
            <w:tcW w:w="1756" w:type="dxa"/>
            <w:vAlign w:val="center"/>
            <w:hideMark/>
          </w:tcPr>
          <w:p w14:paraId="01753A9B" w14:textId="7CBB0AA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2.58</w:t>
            </w:r>
            <w:r w:rsidRPr="008E3BF7">
              <w:rPr>
                <w:rFonts w:ascii="Arial" w:eastAsia="Times New Roman" w:hAnsi="Arial" w:cs="Arial"/>
                <w:sz w:val="16"/>
                <w:szCs w:val="16"/>
                <w:vertAlign w:val="superscript"/>
              </w:rPr>
              <w:t>**</w:t>
            </w:r>
          </w:p>
        </w:tc>
        <w:tc>
          <w:tcPr>
            <w:tcW w:w="1740" w:type="dxa"/>
            <w:vAlign w:val="center"/>
            <w:hideMark/>
          </w:tcPr>
          <w:p w14:paraId="09560D6D" w14:textId="05E8D68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2.96</w:t>
            </w:r>
            <w:r w:rsidRPr="008E3BF7">
              <w:rPr>
                <w:rFonts w:ascii="Arial" w:eastAsia="Times New Roman" w:hAnsi="Arial" w:cs="Arial"/>
                <w:sz w:val="16"/>
                <w:szCs w:val="16"/>
                <w:vertAlign w:val="superscript"/>
              </w:rPr>
              <w:t>**</w:t>
            </w:r>
          </w:p>
        </w:tc>
      </w:tr>
      <w:tr w:rsidR="007B51A5" w:rsidRPr="008E3BF7" w14:paraId="0733A9CD" w14:textId="77777777" w:rsidTr="009F4971">
        <w:trPr>
          <w:trHeight w:val="16"/>
          <w:tblCellSpacing w:w="15" w:type="dxa"/>
          <w:jc w:val="center"/>
        </w:trPr>
        <w:tc>
          <w:tcPr>
            <w:tcW w:w="0" w:type="auto"/>
            <w:vAlign w:val="center"/>
            <w:hideMark/>
          </w:tcPr>
          <w:p w14:paraId="52381A4B" w14:textId="55F509A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Lithuania</w:t>
            </w:r>
          </w:p>
        </w:tc>
        <w:tc>
          <w:tcPr>
            <w:tcW w:w="1811" w:type="dxa"/>
            <w:vAlign w:val="center"/>
            <w:hideMark/>
          </w:tcPr>
          <w:p w14:paraId="4D55839D" w14:textId="0F9200F6"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15.37</w:t>
            </w:r>
          </w:p>
        </w:tc>
        <w:tc>
          <w:tcPr>
            <w:tcW w:w="2025" w:type="dxa"/>
            <w:vAlign w:val="center"/>
            <w:hideMark/>
          </w:tcPr>
          <w:p w14:paraId="64A70C1A" w14:textId="5E46FC9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-1.44</w:t>
            </w:r>
          </w:p>
        </w:tc>
        <w:tc>
          <w:tcPr>
            <w:tcW w:w="1756" w:type="dxa"/>
            <w:vAlign w:val="center"/>
            <w:hideMark/>
          </w:tcPr>
          <w:p w14:paraId="77883B20" w14:textId="1884D77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-0.00</w:t>
            </w:r>
          </w:p>
        </w:tc>
        <w:tc>
          <w:tcPr>
            <w:tcW w:w="1740" w:type="dxa"/>
            <w:vAlign w:val="center"/>
            <w:hideMark/>
          </w:tcPr>
          <w:p w14:paraId="40513A3A" w14:textId="29D5DC7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-2.44</w:t>
            </w:r>
          </w:p>
        </w:tc>
      </w:tr>
      <w:tr w:rsidR="007B51A5" w:rsidRPr="008E3BF7" w14:paraId="3258C591" w14:textId="77777777" w:rsidTr="009F4971">
        <w:trPr>
          <w:trHeight w:val="16"/>
          <w:tblCellSpacing w:w="15" w:type="dxa"/>
          <w:jc w:val="center"/>
        </w:trPr>
        <w:tc>
          <w:tcPr>
            <w:tcW w:w="0" w:type="auto"/>
            <w:vAlign w:val="center"/>
            <w:hideMark/>
          </w:tcPr>
          <w:p w14:paraId="6405D212" w14:textId="347FE3C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Luxembourg</w:t>
            </w:r>
          </w:p>
        </w:tc>
        <w:tc>
          <w:tcPr>
            <w:tcW w:w="1811" w:type="dxa"/>
            <w:vAlign w:val="center"/>
            <w:hideMark/>
          </w:tcPr>
          <w:p w14:paraId="4E58EA02" w14:textId="49C2BBE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-1.57</w:t>
            </w:r>
          </w:p>
        </w:tc>
        <w:tc>
          <w:tcPr>
            <w:tcW w:w="2025" w:type="dxa"/>
            <w:vAlign w:val="center"/>
            <w:hideMark/>
          </w:tcPr>
          <w:p w14:paraId="44163707" w14:textId="1FA8A1C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0.69</w:t>
            </w:r>
          </w:p>
        </w:tc>
        <w:tc>
          <w:tcPr>
            <w:tcW w:w="1756" w:type="dxa"/>
            <w:vAlign w:val="center"/>
            <w:hideMark/>
          </w:tcPr>
          <w:p w14:paraId="2349DB64" w14:textId="71D8314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-0.65</w:t>
            </w:r>
          </w:p>
        </w:tc>
        <w:tc>
          <w:tcPr>
            <w:tcW w:w="1740" w:type="dxa"/>
            <w:vAlign w:val="center"/>
            <w:hideMark/>
          </w:tcPr>
          <w:p w14:paraId="6372489E" w14:textId="1522E65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-1.13</w:t>
            </w:r>
          </w:p>
        </w:tc>
      </w:tr>
      <w:tr w:rsidR="007B51A5" w:rsidRPr="008E3BF7" w14:paraId="11B6633C" w14:textId="77777777" w:rsidTr="009F4971">
        <w:trPr>
          <w:trHeight w:val="16"/>
          <w:tblCellSpacing w:w="15" w:type="dxa"/>
          <w:jc w:val="center"/>
        </w:trPr>
        <w:tc>
          <w:tcPr>
            <w:tcW w:w="0" w:type="auto"/>
            <w:vAlign w:val="center"/>
            <w:hideMark/>
          </w:tcPr>
          <w:p w14:paraId="12A0224C" w14:textId="2952CF5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Netherlands</w:t>
            </w:r>
          </w:p>
        </w:tc>
        <w:tc>
          <w:tcPr>
            <w:tcW w:w="1811" w:type="dxa"/>
            <w:vAlign w:val="center"/>
            <w:hideMark/>
          </w:tcPr>
          <w:p w14:paraId="24507030" w14:textId="5C89DBC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6.14</w:t>
            </w:r>
            <w:r w:rsidRPr="008E3BF7">
              <w:rPr>
                <w:rFonts w:ascii="Arial" w:eastAsia="Times New Roman" w:hAnsi="Arial" w:cs="Arial"/>
                <w:sz w:val="16"/>
                <w:szCs w:val="16"/>
                <w:vertAlign w:val="superscript"/>
              </w:rPr>
              <w:t>**</w:t>
            </w:r>
          </w:p>
        </w:tc>
        <w:tc>
          <w:tcPr>
            <w:tcW w:w="2025" w:type="dxa"/>
            <w:vAlign w:val="center"/>
            <w:hideMark/>
          </w:tcPr>
          <w:p w14:paraId="3CECAC37" w14:textId="0F48FC6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5.55</w:t>
            </w:r>
            <w:r w:rsidRPr="008E3BF7">
              <w:rPr>
                <w:rFonts w:ascii="Arial" w:eastAsia="Times New Roman" w:hAnsi="Arial" w:cs="Arial"/>
                <w:sz w:val="16"/>
                <w:szCs w:val="16"/>
                <w:vertAlign w:val="superscript"/>
              </w:rPr>
              <w:t>**</w:t>
            </w:r>
          </w:p>
        </w:tc>
        <w:tc>
          <w:tcPr>
            <w:tcW w:w="1756" w:type="dxa"/>
            <w:vAlign w:val="center"/>
            <w:hideMark/>
          </w:tcPr>
          <w:p w14:paraId="5E979E75" w14:textId="6A1D2EC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0.60</w:t>
            </w:r>
          </w:p>
        </w:tc>
        <w:tc>
          <w:tcPr>
            <w:tcW w:w="1740" w:type="dxa"/>
            <w:vAlign w:val="center"/>
            <w:hideMark/>
          </w:tcPr>
          <w:p w14:paraId="79A6DE98" w14:textId="1F8EF5B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0.00</w:t>
            </w:r>
          </w:p>
        </w:tc>
      </w:tr>
      <w:tr w:rsidR="007B51A5" w:rsidRPr="008E3BF7" w14:paraId="6E07A5C4" w14:textId="77777777" w:rsidTr="009F4971">
        <w:trPr>
          <w:trHeight w:val="16"/>
          <w:tblCellSpacing w:w="15" w:type="dxa"/>
          <w:jc w:val="center"/>
        </w:trPr>
        <w:tc>
          <w:tcPr>
            <w:tcW w:w="0" w:type="auto"/>
            <w:vAlign w:val="center"/>
            <w:hideMark/>
          </w:tcPr>
          <w:p w14:paraId="1D09AB92" w14:textId="68E837D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Poland</w:t>
            </w:r>
          </w:p>
        </w:tc>
        <w:tc>
          <w:tcPr>
            <w:tcW w:w="1811" w:type="dxa"/>
            <w:vAlign w:val="center"/>
            <w:hideMark/>
          </w:tcPr>
          <w:p w14:paraId="1707D16A" w14:textId="7A026686"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2.73</w:t>
            </w:r>
          </w:p>
        </w:tc>
        <w:tc>
          <w:tcPr>
            <w:tcW w:w="2025" w:type="dxa"/>
            <w:vAlign w:val="center"/>
            <w:hideMark/>
          </w:tcPr>
          <w:p w14:paraId="21F98D07" w14:textId="08895EC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1.38</w:t>
            </w:r>
          </w:p>
        </w:tc>
        <w:tc>
          <w:tcPr>
            <w:tcW w:w="1756" w:type="dxa"/>
            <w:vAlign w:val="center"/>
            <w:hideMark/>
          </w:tcPr>
          <w:p w14:paraId="7DA3FDE3" w14:textId="2F64230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-0.00</w:t>
            </w:r>
          </w:p>
        </w:tc>
        <w:tc>
          <w:tcPr>
            <w:tcW w:w="1740" w:type="dxa"/>
            <w:vAlign w:val="center"/>
            <w:hideMark/>
          </w:tcPr>
          <w:p w14:paraId="174FDE16" w14:textId="6AF4B8C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-2.50</w:t>
            </w:r>
            <w:r w:rsidRPr="008E3BF7">
              <w:rPr>
                <w:rFonts w:ascii="Arial" w:eastAsia="Times New Roman" w:hAnsi="Arial" w:cs="Arial"/>
                <w:sz w:val="16"/>
                <w:szCs w:val="16"/>
                <w:vertAlign w:val="superscript"/>
              </w:rPr>
              <w:t>**</w:t>
            </w:r>
          </w:p>
        </w:tc>
      </w:tr>
      <w:tr w:rsidR="007B51A5" w:rsidRPr="008E3BF7" w14:paraId="31F06052" w14:textId="77777777" w:rsidTr="009F4971">
        <w:trPr>
          <w:trHeight w:val="16"/>
          <w:tblCellSpacing w:w="15" w:type="dxa"/>
          <w:jc w:val="center"/>
        </w:trPr>
        <w:tc>
          <w:tcPr>
            <w:tcW w:w="0" w:type="auto"/>
            <w:vAlign w:val="center"/>
            <w:hideMark/>
          </w:tcPr>
          <w:p w14:paraId="366F3DC0" w14:textId="2FB2C55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Slovakia</w:t>
            </w:r>
          </w:p>
        </w:tc>
        <w:tc>
          <w:tcPr>
            <w:tcW w:w="1811" w:type="dxa"/>
            <w:vAlign w:val="center"/>
            <w:hideMark/>
          </w:tcPr>
          <w:p w14:paraId="64A0B7CE" w14:textId="1ED41A8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-0.78</w:t>
            </w:r>
          </w:p>
        </w:tc>
        <w:tc>
          <w:tcPr>
            <w:tcW w:w="2025" w:type="dxa"/>
            <w:vAlign w:val="center"/>
            <w:hideMark/>
          </w:tcPr>
          <w:p w14:paraId="04B83780" w14:textId="3BF50DC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-1.00</w:t>
            </w:r>
          </w:p>
        </w:tc>
        <w:tc>
          <w:tcPr>
            <w:tcW w:w="1756" w:type="dxa"/>
            <w:vAlign w:val="center"/>
            <w:hideMark/>
          </w:tcPr>
          <w:p w14:paraId="2A35DEED" w14:textId="2E3DE7A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-0.00</w:t>
            </w:r>
          </w:p>
        </w:tc>
        <w:tc>
          <w:tcPr>
            <w:tcW w:w="1740" w:type="dxa"/>
            <w:vAlign w:val="center"/>
            <w:hideMark/>
          </w:tcPr>
          <w:p w14:paraId="6FB5F121" w14:textId="47B1166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-2.41</w:t>
            </w:r>
            <w:r w:rsidRPr="008E3BF7">
              <w:rPr>
                <w:rFonts w:ascii="Arial" w:eastAsia="Times New Roman" w:hAnsi="Arial" w:cs="Arial"/>
                <w:sz w:val="16"/>
                <w:szCs w:val="16"/>
                <w:vertAlign w:val="superscript"/>
              </w:rPr>
              <w:t>**</w:t>
            </w:r>
          </w:p>
        </w:tc>
      </w:tr>
      <w:tr w:rsidR="007B51A5" w:rsidRPr="008E3BF7" w14:paraId="3BFF3178" w14:textId="77777777" w:rsidTr="009F4971">
        <w:trPr>
          <w:trHeight w:val="16"/>
          <w:tblCellSpacing w:w="15" w:type="dxa"/>
          <w:jc w:val="center"/>
        </w:trPr>
        <w:tc>
          <w:tcPr>
            <w:tcW w:w="0" w:type="auto"/>
            <w:vAlign w:val="center"/>
            <w:hideMark/>
          </w:tcPr>
          <w:p w14:paraId="6DAC01D4" w14:textId="78486D3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Slovenia</w:t>
            </w:r>
          </w:p>
        </w:tc>
        <w:tc>
          <w:tcPr>
            <w:tcW w:w="1811" w:type="dxa"/>
            <w:vAlign w:val="center"/>
            <w:hideMark/>
          </w:tcPr>
          <w:p w14:paraId="7ACF0C43" w14:textId="4340740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-5.92</w:t>
            </w:r>
            <w:r w:rsidRPr="008E3BF7">
              <w:rPr>
                <w:rFonts w:ascii="Arial" w:eastAsia="Times New Roman" w:hAnsi="Arial" w:cs="Arial"/>
                <w:sz w:val="16"/>
                <w:szCs w:val="16"/>
                <w:vertAlign w:val="superscript"/>
              </w:rPr>
              <w:t>**</w:t>
            </w:r>
          </w:p>
        </w:tc>
        <w:tc>
          <w:tcPr>
            <w:tcW w:w="2025" w:type="dxa"/>
            <w:vAlign w:val="center"/>
            <w:hideMark/>
          </w:tcPr>
          <w:p w14:paraId="7416560E" w14:textId="0A41641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-6.37</w:t>
            </w:r>
            <w:r w:rsidRPr="008E3BF7">
              <w:rPr>
                <w:rFonts w:ascii="Arial" w:eastAsia="Times New Roman" w:hAnsi="Arial" w:cs="Arial"/>
                <w:sz w:val="16"/>
                <w:szCs w:val="16"/>
                <w:vertAlign w:val="superscript"/>
              </w:rPr>
              <w:t>***</w:t>
            </w:r>
          </w:p>
        </w:tc>
        <w:tc>
          <w:tcPr>
            <w:tcW w:w="1756" w:type="dxa"/>
            <w:vAlign w:val="center"/>
            <w:hideMark/>
          </w:tcPr>
          <w:p w14:paraId="17F050B3" w14:textId="563533F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-2.16</w:t>
            </w:r>
            <w:r w:rsidRPr="008E3BF7">
              <w:rPr>
                <w:rFonts w:ascii="Arial" w:eastAsia="Times New Roman" w:hAnsi="Arial" w:cs="Arial"/>
                <w:sz w:val="16"/>
                <w:szCs w:val="16"/>
                <w:vertAlign w:val="superscript"/>
              </w:rPr>
              <w:t>*</w:t>
            </w:r>
          </w:p>
        </w:tc>
        <w:tc>
          <w:tcPr>
            <w:tcW w:w="1740" w:type="dxa"/>
            <w:vAlign w:val="center"/>
            <w:hideMark/>
          </w:tcPr>
          <w:p w14:paraId="79548F02" w14:textId="446E8ED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-5.14</w:t>
            </w:r>
            <w:r w:rsidRPr="008E3BF7">
              <w:rPr>
                <w:rFonts w:ascii="Arial" w:eastAsia="Times New Roman" w:hAnsi="Arial" w:cs="Arial"/>
                <w:sz w:val="16"/>
                <w:szCs w:val="16"/>
                <w:vertAlign w:val="superscript"/>
              </w:rPr>
              <w:t>***</w:t>
            </w:r>
          </w:p>
        </w:tc>
      </w:tr>
      <w:tr w:rsidR="007B51A5" w:rsidRPr="008E3BF7" w14:paraId="107F4E7E" w14:textId="77777777" w:rsidTr="009F4971">
        <w:trPr>
          <w:trHeight w:val="16"/>
          <w:tblCellSpacing w:w="15" w:type="dxa"/>
          <w:jc w:val="center"/>
        </w:trPr>
        <w:tc>
          <w:tcPr>
            <w:tcW w:w="0" w:type="auto"/>
            <w:vAlign w:val="center"/>
            <w:hideMark/>
          </w:tcPr>
          <w:p w14:paraId="4819983E" w14:textId="0D92F16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Spain</w:t>
            </w:r>
          </w:p>
        </w:tc>
        <w:tc>
          <w:tcPr>
            <w:tcW w:w="1811" w:type="dxa"/>
            <w:vAlign w:val="center"/>
            <w:hideMark/>
          </w:tcPr>
          <w:p w14:paraId="18F25F96" w14:textId="63B45BA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-5.17</w:t>
            </w:r>
          </w:p>
        </w:tc>
        <w:tc>
          <w:tcPr>
            <w:tcW w:w="2025" w:type="dxa"/>
            <w:vAlign w:val="center"/>
            <w:hideMark/>
          </w:tcPr>
          <w:p w14:paraId="2549C7E6" w14:textId="7CF2DBD6"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-6.37</w:t>
            </w:r>
            <w:r w:rsidRPr="008E3BF7">
              <w:rPr>
                <w:rFonts w:ascii="Arial" w:eastAsia="Times New Roman" w:hAnsi="Arial" w:cs="Arial"/>
                <w:sz w:val="16"/>
                <w:szCs w:val="16"/>
                <w:vertAlign w:val="superscript"/>
              </w:rPr>
              <w:t>*</w:t>
            </w:r>
          </w:p>
        </w:tc>
        <w:tc>
          <w:tcPr>
            <w:tcW w:w="1756" w:type="dxa"/>
            <w:vAlign w:val="center"/>
            <w:hideMark/>
          </w:tcPr>
          <w:p w14:paraId="1A868432" w14:textId="773C6C9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-1.36</w:t>
            </w:r>
          </w:p>
        </w:tc>
        <w:tc>
          <w:tcPr>
            <w:tcW w:w="1740" w:type="dxa"/>
            <w:vAlign w:val="center"/>
            <w:hideMark/>
          </w:tcPr>
          <w:p w14:paraId="358A2A23" w14:textId="240FC86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-4.37</w:t>
            </w:r>
            <w:r w:rsidRPr="008E3BF7">
              <w:rPr>
                <w:rFonts w:ascii="Arial" w:eastAsia="Times New Roman" w:hAnsi="Arial" w:cs="Arial"/>
                <w:sz w:val="16"/>
                <w:szCs w:val="16"/>
                <w:vertAlign w:val="superscript"/>
              </w:rPr>
              <w:t>**</w:t>
            </w:r>
          </w:p>
        </w:tc>
      </w:tr>
      <w:tr w:rsidR="007B51A5" w:rsidRPr="008E3BF7" w14:paraId="0D8F6740" w14:textId="77777777" w:rsidTr="009F4971">
        <w:trPr>
          <w:trHeight w:val="16"/>
          <w:tblCellSpacing w:w="15" w:type="dxa"/>
          <w:jc w:val="center"/>
        </w:trPr>
        <w:tc>
          <w:tcPr>
            <w:tcW w:w="0" w:type="auto"/>
            <w:vAlign w:val="center"/>
            <w:hideMark/>
          </w:tcPr>
          <w:p w14:paraId="7EF30013" w14:textId="59440A8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Sweden</w:t>
            </w:r>
          </w:p>
        </w:tc>
        <w:tc>
          <w:tcPr>
            <w:tcW w:w="1811" w:type="dxa"/>
            <w:vAlign w:val="center"/>
            <w:hideMark/>
          </w:tcPr>
          <w:p w14:paraId="4B56E3F8" w14:textId="62FDCFDD"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23.97</w:t>
            </w:r>
            <w:r w:rsidRPr="008E3BF7">
              <w:rPr>
                <w:rFonts w:ascii="Arial" w:eastAsia="Times New Roman" w:hAnsi="Arial" w:cs="Arial"/>
                <w:sz w:val="16"/>
                <w:szCs w:val="16"/>
                <w:vertAlign w:val="superscript"/>
              </w:rPr>
              <w:t>***</w:t>
            </w:r>
          </w:p>
        </w:tc>
        <w:tc>
          <w:tcPr>
            <w:tcW w:w="2025" w:type="dxa"/>
            <w:vAlign w:val="center"/>
            <w:hideMark/>
          </w:tcPr>
          <w:p w14:paraId="5F747FBA" w14:textId="5A0E180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19.02</w:t>
            </w:r>
            <w:r w:rsidRPr="008E3BF7">
              <w:rPr>
                <w:rFonts w:ascii="Arial" w:eastAsia="Times New Roman" w:hAnsi="Arial" w:cs="Arial"/>
                <w:sz w:val="16"/>
                <w:szCs w:val="16"/>
                <w:vertAlign w:val="superscript"/>
              </w:rPr>
              <w:t>***</w:t>
            </w:r>
          </w:p>
        </w:tc>
        <w:tc>
          <w:tcPr>
            <w:tcW w:w="1756" w:type="dxa"/>
            <w:vAlign w:val="center"/>
            <w:hideMark/>
          </w:tcPr>
          <w:p w14:paraId="1354EC39" w14:textId="06A169EC"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3.44</w:t>
            </w:r>
            <w:r w:rsidRPr="008E3BF7">
              <w:rPr>
                <w:rFonts w:ascii="Arial" w:eastAsia="Times New Roman" w:hAnsi="Arial" w:cs="Arial"/>
                <w:sz w:val="16"/>
                <w:szCs w:val="16"/>
                <w:vertAlign w:val="superscript"/>
              </w:rPr>
              <w:t>***</w:t>
            </w:r>
          </w:p>
        </w:tc>
        <w:tc>
          <w:tcPr>
            <w:tcW w:w="1740" w:type="dxa"/>
            <w:vAlign w:val="center"/>
            <w:hideMark/>
          </w:tcPr>
          <w:p w14:paraId="3BF6FE87" w14:textId="520A018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2.56</w:t>
            </w:r>
            <w:r w:rsidRPr="008E3BF7">
              <w:rPr>
                <w:rFonts w:ascii="Arial" w:eastAsia="Times New Roman" w:hAnsi="Arial" w:cs="Arial"/>
                <w:sz w:val="16"/>
                <w:szCs w:val="16"/>
                <w:vertAlign w:val="superscript"/>
              </w:rPr>
              <w:t>**</w:t>
            </w:r>
          </w:p>
        </w:tc>
      </w:tr>
      <w:tr w:rsidR="001958D6" w:rsidRPr="008E3BF7" w14:paraId="4EE39D3E" w14:textId="77777777" w:rsidTr="009F4971">
        <w:trPr>
          <w:trHeight w:val="16"/>
          <w:tblCellSpacing w:w="15" w:type="dxa"/>
          <w:jc w:val="center"/>
        </w:trPr>
        <w:tc>
          <w:tcPr>
            <w:tcW w:w="9241" w:type="dxa"/>
            <w:gridSpan w:val="5"/>
            <w:vAlign w:val="center"/>
          </w:tcPr>
          <w:p w14:paraId="2732473C" w14:textId="0FD7A095" w:rsidR="001958D6" w:rsidRPr="008E3BF7" w:rsidRDefault="001958D6" w:rsidP="00237322">
            <w:pPr>
              <w:spacing w:after="0" w:line="240" w:lineRule="auto"/>
              <w:jc w:val="both"/>
              <w:rPr>
                <w:rFonts w:ascii="Arial" w:eastAsia="Times New Roman" w:hAnsi="Arial" w:cs="Arial"/>
                <w:b/>
                <w:bCs/>
                <w:i/>
                <w:iCs/>
                <w:sz w:val="16"/>
                <w:szCs w:val="16"/>
              </w:rPr>
            </w:pPr>
            <w:r w:rsidRPr="008E3BF7">
              <w:rPr>
                <w:rFonts w:ascii="Arial" w:eastAsia="Times New Roman" w:hAnsi="Arial" w:cs="Arial"/>
                <w:b/>
                <w:bCs/>
                <w:i/>
                <w:iCs/>
                <w:sz w:val="16"/>
                <w:szCs w:val="16"/>
              </w:rPr>
              <w:t>Sector (reference category: Camping)</w:t>
            </w:r>
          </w:p>
        </w:tc>
      </w:tr>
      <w:tr w:rsidR="007B51A5" w:rsidRPr="008E3BF7" w14:paraId="1C7461CE" w14:textId="77777777" w:rsidTr="009F4971">
        <w:trPr>
          <w:trHeight w:val="16"/>
          <w:tblCellSpacing w:w="15" w:type="dxa"/>
          <w:jc w:val="center"/>
        </w:trPr>
        <w:tc>
          <w:tcPr>
            <w:tcW w:w="0" w:type="auto"/>
            <w:vAlign w:val="center"/>
            <w:hideMark/>
          </w:tcPr>
          <w:p w14:paraId="5178AC6F" w14:textId="0D4443B3"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Holiday</w:t>
            </w:r>
          </w:p>
        </w:tc>
        <w:tc>
          <w:tcPr>
            <w:tcW w:w="1811" w:type="dxa"/>
            <w:vAlign w:val="center"/>
            <w:hideMark/>
          </w:tcPr>
          <w:p w14:paraId="1D7C0248" w14:textId="1DB598C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-1.01</w:t>
            </w:r>
          </w:p>
        </w:tc>
        <w:tc>
          <w:tcPr>
            <w:tcW w:w="2025" w:type="dxa"/>
            <w:vAlign w:val="center"/>
            <w:hideMark/>
          </w:tcPr>
          <w:p w14:paraId="39704379" w14:textId="453EA1D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0.20</w:t>
            </w:r>
          </w:p>
        </w:tc>
        <w:tc>
          <w:tcPr>
            <w:tcW w:w="1756" w:type="dxa"/>
            <w:vAlign w:val="center"/>
            <w:hideMark/>
          </w:tcPr>
          <w:p w14:paraId="22D93F18" w14:textId="6D85CAD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1.08</w:t>
            </w:r>
            <w:r w:rsidRPr="008E3BF7">
              <w:rPr>
                <w:rFonts w:ascii="Arial" w:eastAsia="Times New Roman" w:hAnsi="Arial" w:cs="Arial"/>
                <w:sz w:val="16"/>
                <w:szCs w:val="16"/>
                <w:vertAlign w:val="superscript"/>
              </w:rPr>
              <w:t>*</w:t>
            </w:r>
          </w:p>
        </w:tc>
        <w:tc>
          <w:tcPr>
            <w:tcW w:w="1740" w:type="dxa"/>
            <w:vAlign w:val="center"/>
            <w:hideMark/>
          </w:tcPr>
          <w:p w14:paraId="03562FCC" w14:textId="346C6E1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-0.34</w:t>
            </w:r>
          </w:p>
        </w:tc>
      </w:tr>
      <w:tr w:rsidR="007B51A5" w:rsidRPr="008E3BF7" w14:paraId="2C15A1A3" w14:textId="77777777" w:rsidTr="009F4971">
        <w:trPr>
          <w:trHeight w:val="16"/>
          <w:tblCellSpacing w:w="15" w:type="dxa"/>
          <w:jc w:val="center"/>
        </w:trPr>
        <w:tc>
          <w:tcPr>
            <w:tcW w:w="0" w:type="auto"/>
            <w:vAlign w:val="center"/>
            <w:hideMark/>
          </w:tcPr>
          <w:p w14:paraId="37D8D442" w14:textId="0EE5DB6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Hotel</w:t>
            </w:r>
          </w:p>
        </w:tc>
        <w:tc>
          <w:tcPr>
            <w:tcW w:w="1811" w:type="dxa"/>
            <w:vAlign w:val="center"/>
            <w:hideMark/>
          </w:tcPr>
          <w:p w14:paraId="1453B934" w14:textId="07BEEAF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-7.04</w:t>
            </w:r>
            <w:r w:rsidRPr="008E3BF7">
              <w:rPr>
                <w:rFonts w:ascii="Arial" w:eastAsia="Times New Roman" w:hAnsi="Arial" w:cs="Arial"/>
                <w:sz w:val="16"/>
                <w:szCs w:val="16"/>
                <w:vertAlign w:val="superscript"/>
              </w:rPr>
              <w:t>***</w:t>
            </w:r>
          </w:p>
        </w:tc>
        <w:tc>
          <w:tcPr>
            <w:tcW w:w="2025" w:type="dxa"/>
            <w:vAlign w:val="center"/>
            <w:hideMark/>
          </w:tcPr>
          <w:p w14:paraId="6AF4AF78" w14:textId="6DD5AF1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-5.83</w:t>
            </w:r>
            <w:r w:rsidRPr="008E3BF7">
              <w:rPr>
                <w:rFonts w:ascii="Arial" w:eastAsia="Times New Roman" w:hAnsi="Arial" w:cs="Arial"/>
                <w:sz w:val="16"/>
                <w:szCs w:val="16"/>
                <w:vertAlign w:val="superscript"/>
              </w:rPr>
              <w:t>***</w:t>
            </w:r>
          </w:p>
        </w:tc>
        <w:tc>
          <w:tcPr>
            <w:tcW w:w="1756" w:type="dxa"/>
            <w:vAlign w:val="center"/>
            <w:hideMark/>
          </w:tcPr>
          <w:p w14:paraId="47FC758C" w14:textId="057F049B"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-0.24</w:t>
            </w:r>
          </w:p>
        </w:tc>
        <w:tc>
          <w:tcPr>
            <w:tcW w:w="1740" w:type="dxa"/>
            <w:vAlign w:val="center"/>
            <w:hideMark/>
          </w:tcPr>
          <w:p w14:paraId="3B364584" w14:textId="5EC0D17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-2.27</w:t>
            </w:r>
            <w:r w:rsidRPr="008E3BF7">
              <w:rPr>
                <w:rFonts w:ascii="Arial" w:eastAsia="Times New Roman" w:hAnsi="Arial" w:cs="Arial"/>
                <w:sz w:val="16"/>
                <w:szCs w:val="16"/>
                <w:vertAlign w:val="superscript"/>
              </w:rPr>
              <w:t>**</w:t>
            </w:r>
          </w:p>
        </w:tc>
      </w:tr>
      <w:tr w:rsidR="001958D6" w:rsidRPr="008E3BF7" w14:paraId="28933FBD" w14:textId="77777777" w:rsidTr="009F4971">
        <w:trPr>
          <w:trHeight w:val="16"/>
          <w:tblCellSpacing w:w="15" w:type="dxa"/>
          <w:jc w:val="center"/>
        </w:trPr>
        <w:tc>
          <w:tcPr>
            <w:tcW w:w="9241" w:type="dxa"/>
            <w:gridSpan w:val="5"/>
            <w:vAlign w:val="center"/>
          </w:tcPr>
          <w:p w14:paraId="1D2B7E26" w14:textId="589A0128" w:rsidR="001958D6" w:rsidRPr="008E3BF7" w:rsidRDefault="001958D6" w:rsidP="00237322">
            <w:pPr>
              <w:spacing w:after="0" w:line="240" w:lineRule="auto"/>
              <w:jc w:val="both"/>
              <w:rPr>
                <w:rFonts w:ascii="Arial" w:eastAsia="Times New Roman" w:hAnsi="Arial" w:cs="Arial"/>
                <w:sz w:val="16"/>
                <w:szCs w:val="16"/>
              </w:rPr>
            </w:pPr>
            <w:r w:rsidRPr="008E3BF7">
              <w:rPr>
                <w:rFonts w:ascii="Arial" w:eastAsia="Times New Roman" w:hAnsi="Arial" w:cs="Arial"/>
                <w:b/>
                <w:bCs/>
                <w:i/>
                <w:iCs/>
                <w:sz w:val="16"/>
                <w:szCs w:val="16"/>
              </w:rPr>
              <w:lastRenderedPageBreak/>
              <w:t>Guest type (reference category: Foreign)</w:t>
            </w:r>
          </w:p>
        </w:tc>
      </w:tr>
      <w:tr w:rsidR="007B51A5" w:rsidRPr="008E3BF7" w14:paraId="291D8AB3" w14:textId="77777777" w:rsidTr="009F4971">
        <w:trPr>
          <w:trHeight w:val="16"/>
          <w:tblCellSpacing w:w="15" w:type="dxa"/>
          <w:jc w:val="center"/>
        </w:trPr>
        <w:tc>
          <w:tcPr>
            <w:tcW w:w="0" w:type="auto"/>
            <w:vAlign w:val="center"/>
            <w:hideMark/>
          </w:tcPr>
          <w:p w14:paraId="54E6A508" w14:textId="2E66796F"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National</w:t>
            </w:r>
          </w:p>
        </w:tc>
        <w:tc>
          <w:tcPr>
            <w:tcW w:w="1811" w:type="dxa"/>
            <w:vAlign w:val="center"/>
            <w:hideMark/>
          </w:tcPr>
          <w:p w14:paraId="2F56144D" w14:textId="21B2501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11.87</w:t>
            </w:r>
            <w:r w:rsidRPr="008E3BF7">
              <w:rPr>
                <w:rFonts w:ascii="Arial" w:eastAsia="Times New Roman" w:hAnsi="Arial" w:cs="Arial"/>
                <w:sz w:val="16"/>
                <w:szCs w:val="16"/>
                <w:vertAlign w:val="superscript"/>
              </w:rPr>
              <w:t>***</w:t>
            </w:r>
          </w:p>
        </w:tc>
        <w:tc>
          <w:tcPr>
            <w:tcW w:w="2025" w:type="dxa"/>
            <w:vAlign w:val="center"/>
            <w:hideMark/>
          </w:tcPr>
          <w:p w14:paraId="14559322" w14:textId="2D7F9DF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10.12</w:t>
            </w:r>
            <w:r w:rsidRPr="008E3BF7">
              <w:rPr>
                <w:rFonts w:ascii="Arial" w:eastAsia="Times New Roman" w:hAnsi="Arial" w:cs="Arial"/>
                <w:sz w:val="16"/>
                <w:szCs w:val="16"/>
                <w:vertAlign w:val="superscript"/>
              </w:rPr>
              <w:t>***</w:t>
            </w:r>
          </w:p>
        </w:tc>
        <w:tc>
          <w:tcPr>
            <w:tcW w:w="1756" w:type="dxa"/>
            <w:vAlign w:val="center"/>
            <w:hideMark/>
          </w:tcPr>
          <w:p w14:paraId="31FA4BEE" w14:textId="596A8BC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1.99</w:t>
            </w:r>
            <w:r w:rsidRPr="008E3BF7">
              <w:rPr>
                <w:rFonts w:ascii="Arial" w:eastAsia="Times New Roman" w:hAnsi="Arial" w:cs="Arial"/>
                <w:sz w:val="16"/>
                <w:szCs w:val="16"/>
                <w:vertAlign w:val="superscript"/>
              </w:rPr>
              <w:t>***</w:t>
            </w:r>
          </w:p>
        </w:tc>
        <w:tc>
          <w:tcPr>
            <w:tcW w:w="1740" w:type="dxa"/>
            <w:vAlign w:val="center"/>
            <w:hideMark/>
          </w:tcPr>
          <w:p w14:paraId="6A3FB55C" w14:textId="6CCEC55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2.46</w:t>
            </w:r>
            <w:r w:rsidRPr="008E3BF7">
              <w:rPr>
                <w:rFonts w:ascii="Arial" w:eastAsia="Times New Roman" w:hAnsi="Arial" w:cs="Arial"/>
                <w:sz w:val="16"/>
                <w:szCs w:val="16"/>
                <w:vertAlign w:val="superscript"/>
              </w:rPr>
              <w:t>***</w:t>
            </w:r>
          </w:p>
        </w:tc>
      </w:tr>
      <w:tr w:rsidR="001958D6" w:rsidRPr="008E3BF7" w14:paraId="3DE20795" w14:textId="77777777" w:rsidTr="009F4971">
        <w:trPr>
          <w:trHeight w:val="16"/>
          <w:tblCellSpacing w:w="15" w:type="dxa"/>
          <w:jc w:val="center"/>
        </w:trPr>
        <w:tc>
          <w:tcPr>
            <w:tcW w:w="9241" w:type="dxa"/>
            <w:gridSpan w:val="5"/>
            <w:vAlign w:val="center"/>
          </w:tcPr>
          <w:p w14:paraId="57E31679" w14:textId="75BEA901" w:rsidR="001958D6" w:rsidRPr="008E3BF7" w:rsidRDefault="001958D6" w:rsidP="00237322">
            <w:pPr>
              <w:spacing w:after="0" w:line="240" w:lineRule="auto"/>
              <w:jc w:val="both"/>
              <w:rPr>
                <w:rFonts w:ascii="Arial" w:eastAsia="Times New Roman" w:hAnsi="Arial" w:cs="Arial"/>
                <w:b/>
                <w:bCs/>
                <w:i/>
                <w:iCs/>
                <w:sz w:val="16"/>
                <w:szCs w:val="16"/>
              </w:rPr>
            </w:pPr>
            <w:r w:rsidRPr="008E3BF7">
              <w:rPr>
                <w:rFonts w:ascii="Arial" w:eastAsia="Times New Roman" w:hAnsi="Arial" w:cs="Arial"/>
                <w:b/>
                <w:bCs/>
                <w:i/>
                <w:iCs/>
                <w:sz w:val="16"/>
                <w:szCs w:val="16"/>
              </w:rPr>
              <w:t>Month (reference category: March)</w:t>
            </w:r>
          </w:p>
        </w:tc>
      </w:tr>
      <w:tr w:rsidR="007B51A5" w:rsidRPr="008E3BF7" w14:paraId="372AB22C" w14:textId="77777777" w:rsidTr="009F4971">
        <w:trPr>
          <w:trHeight w:val="16"/>
          <w:tblCellSpacing w:w="15" w:type="dxa"/>
          <w:jc w:val="center"/>
        </w:trPr>
        <w:tc>
          <w:tcPr>
            <w:tcW w:w="0" w:type="auto"/>
            <w:vAlign w:val="center"/>
            <w:hideMark/>
          </w:tcPr>
          <w:p w14:paraId="6D5ECDAA" w14:textId="2C4D6AB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April</w:t>
            </w:r>
          </w:p>
        </w:tc>
        <w:tc>
          <w:tcPr>
            <w:tcW w:w="1811" w:type="dxa"/>
            <w:vAlign w:val="center"/>
            <w:hideMark/>
          </w:tcPr>
          <w:p w14:paraId="6904EE63" w14:textId="0A7EA008"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-31.50</w:t>
            </w:r>
            <w:r w:rsidRPr="008E3BF7">
              <w:rPr>
                <w:rFonts w:ascii="Arial" w:eastAsia="Times New Roman" w:hAnsi="Arial" w:cs="Arial"/>
                <w:sz w:val="16"/>
                <w:szCs w:val="16"/>
                <w:vertAlign w:val="superscript"/>
              </w:rPr>
              <w:t>***</w:t>
            </w:r>
          </w:p>
        </w:tc>
        <w:tc>
          <w:tcPr>
            <w:tcW w:w="2025" w:type="dxa"/>
            <w:vAlign w:val="center"/>
            <w:hideMark/>
          </w:tcPr>
          <w:p w14:paraId="7D3A4113" w14:textId="1A5BBDD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-32.96</w:t>
            </w:r>
            <w:r w:rsidRPr="008E3BF7">
              <w:rPr>
                <w:rFonts w:ascii="Arial" w:eastAsia="Times New Roman" w:hAnsi="Arial" w:cs="Arial"/>
                <w:sz w:val="16"/>
                <w:szCs w:val="16"/>
                <w:vertAlign w:val="superscript"/>
              </w:rPr>
              <w:t>***</w:t>
            </w:r>
          </w:p>
        </w:tc>
        <w:tc>
          <w:tcPr>
            <w:tcW w:w="1756" w:type="dxa"/>
            <w:vAlign w:val="center"/>
            <w:hideMark/>
          </w:tcPr>
          <w:p w14:paraId="3EDF726F" w14:textId="753436E2"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-5.08</w:t>
            </w:r>
            <w:r w:rsidRPr="008E3BF7">
              <w:rPr>
                <w:rFonts w:ascii="Arial" w:eastAsia="Times New Roman" w:hAnsi="Arial" w:cs="Arial"/>
                <w:sz w:val="16"/>
                <w:szCs w:val="16"/>
                <w:vertAlign w:val="superscript"/>
              </w:rPr>
              <w:t>***</w:t>
            </w:r>
          </w:p>
        </w:tc>
        <w:tc>
          <w:tcPr>
            <w:tcW w:w="1740" w:type="dxa"/>
            <w:vAlign w:val="center"/>
            <w:hideMark/>
          </w:tcPr>
          <w:p w14:paraId="1D35E1F8" w14:textId="4D511E4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-8.28</w:t>
            </w:r>
            <w:r w:rsidRPr="008E3BF7">
              <w:rPr>
                <w:rFonts w:ascii="Arial" w:eastAsia="Times New Roman" w:hAnsi="Arial" w:cs="Arial"/>
                <w:sz w:val="16"/>
                <w:szCs w:val="16"/>
                <w:vertAlign w:val="superscript"/>
              </w:rPr>
              <w:t>***</w:t>
            </w:r>
          </w:p>
        </w:tc>
      </w:tr>
      <w:tr w:rsidR="007B51A5" w:rsidRPr="008E3BF7" w14:paraId="333BA8E9" w14:textId="77777777" w:rsidTr="009F4971">
        <w:trPr>
          <w:trHeight w:val="16"/>
          <w:tblCellSpacing w:w="15" w:type="dxa"/>
          <w:jc w:val="center"/>
        </w:trPr>
        <w:tc>
          <w:tcPr>
            <w:tcW w:w="0" w:type="auto"/>
            <w:vAlign w:val="center"/>
            <w:hideMark/>
          </w:tcPr>
          <w:p w14:paraId="7C021BF8" w14:textId="3103F50E"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May</w:t>
            </w:r>
          </w:p>
        </w:tc>
        <w:tc>
          <w:tcPr>
            <w:tcW w:w="1811" w:type="dxa"/>
            <w:vAlign w:val="center"/>
            <w:hideMark/>
          </w:tcPr>
          <w:p w14:paraId="77F7FF10" w14:textId="41A2D5B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-24.13</w:t>
            </w:r>
            <w:r w:rsidRPr="008E3BF7">
              <w:rPr>
                <w:rFonts w:ascii="Arial" w:eastAsia="Times New Roman" w:hAnsi="Arial" w:cs="Arial"/>
                <w:sz w:val="16"/>
                <w:szCs w:val="16"/>
                <w:vertAlign w:val="superscript"/>
              </w:rPr>
              <w:t>***</w:t>
            </w:r>
          </w:p>
        </w:tc>
        <w:tc>
          <w:tcPr>
            <w:tcW w:w="2025" w:type="dxa"/>
            <w:vAlign w:val="center"/>
            <w:hideMark/>
          </w:tcPr>
          <w:p w14:paraId="00010054" w14:textId="1FAE75A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-25.88</w:t>
            </w:r>
            <w:r w:rsidRPr="008E3BF7">
              <w:rPr>
                <w:rFonts w:ascii="Arial" w:eastAsia="Times New Roman" w:hAnsi="Arial" w:cs="Arial"/>
                <w:sz w:val="16"/>
                <w:szCs w:val="16"/>
                <w:vertAlign w:val="superscript"/>
              </w:rPr>
              <w:t>***</w:t>
            </w:r>
          </w:p>
        </w:tc>
        <w:tc>
          <w:tcPr>
            <w:tcW w:w="1756" w:type="dxa"/>
            <w:vAlign w:val="center"/>
            <w:hideMark/>
          </w:tcPr>
          <w:p w14:paraId="41763F34" w14:textId="08E04A91"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-4.04</w:t>
            </w:r>
            <w:r w:rsidRPr="008E3BF7">
              <w:rPr>
                <w:rFonts w:ascii="Arial" w:eastAsia="Times New Roman" w:hAnsi="Arial" w:cs="Arial"/>
                <w:sz w:val="16"/>
                <w:szCs w:val="16"/>
                <w:vertAlign w:val="superscript"/>
              </w:rPr>
              <w:t>***</w:t>
            </w:r>
          </w:p>
        </w:tc>
        <w:tc>
          <w:tcPr>
            <w:tcW w:w="1740" w:type="dxa"/>
            <w:vAlign w:val="center"/>
            <w:hideMark/>
          </w:tcPr>
          <w:p w14:paraId="70637991" w14:textId="55EA24C0"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-6.78</w:t>
            </w:r>
            <w:r w:rsidRPr="008E3BF7">
              <w:rPr>
                <w:rFonts w:ascii="Arial" w:eastAsia="Times New Roman" w:hAnsi="Arial" w:cs="Arial"/>
                <w:sz w:val="16"/>
                <w:szCs w:val="16"/>
                <w:vertAlign w:val="superscript"/>
              </w:rPr>
              <w:t>***</w:t>
            </w:r>
          </w:p>
        </w:tc>
      </w:tr>
      <w:tr w:rsidR="007B51A5" w:rsidRPr="008E3BF7" w14:paraId="31B5BCAB" w14:textId="77777777" w:rsidTr="009F4971">
        <w:trPr>
          <w:trHeight w:val="16"/>
          <w:tblCellSpacing w:w="15" w:type="dxa"/>
          <w:jc w:val="center"/>
        </w:trPr>
        <w:tc>
          <w:tcPr>
            <w:tcW w:w="0" w:type="auto"/>
            <w:vAlign w:val="center"/>
            <w:hideMark/>
          </w:tcPr>
          <w:p w14:paraId="12CBC897" w14:textId="7777777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Constant</w:t>
            </w:r>
          </w:p>
        </w:tc>
        <w:tc>
          <w:tcPr>
            <w:tcW w:w="1811" w:type="dxa"/>
            <w:vAlign w:val="center"/>
            <w:hideMark/>
          </w:tcPr>
          <w:p w14:paraId="2EDB0972" w14:textId="53AF905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-66.92</w:t>
            </w:r>
            <w:r w:rsidRPr="008E3BF7">
              <w:rPr>
                <w:rFonts w:ascii="Arial" w:eastAsia="Times New Roman" w:hAnsi="Arial" w:cs="Arial"/>
                <w:sz w:val="16"/>
                <w:szCs w:val="16"/>
                <w:vertAlign w:val="superscript"/>
              </w:rPr>
              <w:t>***</w:t>
            </w:r>
          </w:p>
        </w:tc>
        <w:tc>
          <w:tcPr>
            <w:tcW w:w="2025" w:type="dxa"/>
            <w:vAlign w:val="center"/>
            <w:hideMark/>
          </w:tcPr>
          <w:p w14:paraId="240623EC" w14:textId="22C077D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-64.58</w:t>
            </w:r>
            <w:r w:rsidRPr="008E3BF7">
              <w:rPr>
                <w:rFonts w:ascii="Arial" w:eastAsia="Times New Roman" w:hAnsi="Arial" w:cs="Arial"/>
                <w:sz w:val="16"/>
                <w:szCs w:val="16"/>
                <w:vertAlign w:val="superscript"/>
              </w:rPr>
              <w:t>***</w:t>
            </w:r>
          </w:p>
        </w:tc>
        <w:tc>
          <w:tcPr>
            <w:tcW w:w="1756" w:type="dxa"/>
            <w:vAlign w:val="center"/>
            <w:hideMark/>
          </w:tcPr>
          <w:p w14:paraId="1A9CCF7B" w14:textId="632ECEE4"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-0.10</w:t>
            </w:r>
          </w:p>
        </w:tc>
        <w:tc>
          <w:tcPr>
            <w:tcW w:w="1740" w:type="dxa"/>
            <w:vAlign w:val="center"/>
            <w:hideMark/>
          </w:tcPr>
          <w:p w14:paraId="0CD064BF" w14:textId="1A8DEB69"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3.98</w:t>
            </w:r>
            <w:r w:rsidRPr="008E3BF7">
              <w:rPr>
                <w:rFonts w:ascii="Arial" w:eastAsia="Times New Roman" w:hAnsi="Arial" w:cs="Arial"/>
                <w:sz w:val="16"/>
                <w:szCs w:val="16"/>
                <w:vertAlign w:val="superscript"/>
              </w:rPr>
              <w:t>***</w:t>
            </w:r>
          </w:p>
        </w:tc>
      </w:tr>
      <w:tr w:rsidR="002C43A8" w:rsidRPr="008E3BF7" w14:paraId="23931794" w14:textId="77777777" w:rsidTr="009F4971">
        <w:trPr>
          <w:trHeight w:val="16"/>
          <w:tblCellSpacing w:w="15" w:type="dxa"/>
          <w:jc w:val="center"/>
        </w:trPr>
        <w:tc>
          <w:tcPr>
            <w:tcW w:w="9241" w:type="dxa"/>
            <w:gridSpan w:val="5"/>
            <w:tcBorders>
              <w:bottom w:val="single" w:sz="6" w:space="0" w:color="000000"/>
            </w:tcBorders>
            <w:vAlign w:val="center"/>
            <w:hideMark/>
          </w:tcPr>
          <w:p w14:paraId="2413B853" w14:textId="77777777" w:rsidR="002C43A8" w:rsidRPr="008E3BF7" w:rsidRDefault="002C43A8" w:rsidP="00237322">
            <w:pPr>
              <w:spacing w:after="0" w:line="240" w:lineRule="auto"/>
              <w:jc w:val="both"/>
              <w:rPr>
                <w:rFonts w:ascii="Arial" w:eastAsia="Times New Roman" w:hAnsi="Arial" w:cs="Arial"/>
                <w:sz w:val="16"/>
                <w:szCs w:val="16"/>
              </w:rPr>
            </w:pPr>
          </w:p>
        </w:tc>
      </w:tr>
      <w:tr w:rsidR="007B51A5" w:rsidRPr="008E3BF7" w14:paraId="6D816494" w14:textId="77777777" w:rsidTr="009F4971">
        <w:trPr>
          <w:trHeight w:val="16"/>
          <w:tblCellSpacing w:w="15" w:type="dxa"/>
          <w:jc w:val="center"/>
        </w:trPr>
        <w:tc>
          <w:tcPr>
            <w:tcW w:w="0" w:type="auto"/>
            <w:vAlign w:val="center"/>
            <w:hideMark/>
          </w:tcPr>
          <w:p w14:paraId="5CFC50EC"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Observations</w:t>
            </w:r>
          </w:p>
        </w:tc>
        <w:tc>
          <w:tcPr>
            <w:tcW w:w="1811" w:type="dxa"/>
            <w:vAlign w:val="center"/>
            <w:hideMark/>
          </w:tcPr>
          <w:p w14:paraId="56B94480"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324</w:t>
            </w:r>
          </w:p>
        </w:tc>
        <w:tc>
          <w:tcPr>
            <w:tcW w:w="2025" w:type="dxa"/>
            <w:vAlign w:val="center"/>
            <w:hideMark/>
          </w:tcPr>
          <w:p w14:paraId="1C85C961"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272</w:t>
            </w:r>
          </w:p>
        </w:tc>
        <w:tc>
          <w:tcPr>
            <w:tcW w:w="1756" w:type="dxa"/>
            <w:vAlign w:val="center"/>
            <w:hideMark/>
          </w:tcPr>
          <w:p w14:paraId="538B50C6"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324</w:t>
            </w:r>
          </w:p>
        </w:tc>
        <w:tc>
          <w:tcPr>
            <w:tcW w:w="1740" w:type="dxa"/>
            <w:vAlign w:val="center"/>
            <w:hideMark/>
          </w:tcPr>
          <w:p w14:paraId="22A6A129"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272</w:t>
            </w:r>
          </w:p>
        </w:tc>
      </w:tr>
      <w:tr w:rsidR="007B51A5" w:rsidRPr="008E3BF7" w14:paraId="2144A51F" w14:textId="77777777" w:rsidTr="009F4971">
        <w:trPr>
          <w:trHeight w:val="16"/>
          <w:tblCellSpacing w:w="15" w:type="dxa"/>
          <w:jc w:val="center"/>
        </w:trPr>
        <w:tc>
          <w:tcPr>
            <w:tcW w:w="0" w:type="auto"/>
            <w:vAlign w:val="center"/>
            <w:hideMark/>
          </w:tcPr>
          <w:p w14:paraId="17FC74EF"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R</w:t>
            </w:r>
            <w:r w:rsidRPr="008E3BF7">
              <w:rPr>
                <w:rFonts w:ascii="Arial" w:eastAsia="Times New Roman" w:hAnsi="Arial" w:cs="Arial"/>
                <w:sz w:val="16"/>
                <w:szCs w:val="16"/>
                <w:vertAlign w:val="superscript"/>
              </w:rPr>
              <w:t>2</w:t>
            </w:r>
          </w:p>
        </w:tc>
        <w:tc>
          <w:tcPr>
            <w:tcW w:w="1811" w:type="dxa"/>
            <w:vAlign w:val="center"/>
            <w:hideMark/>
          </w:tcPr>
          <w:p w14:paraId="4B1EAF58"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0.56</w:t>
            </w:r>
          </w:p>
        </w:tc>
        <w:tc>
          <w:tcPr>
            <w:tcW w:w="2025" w:type="dxa"/>
            <w:vAlign w:val="center"/>
            <w:hideMark/>
          </w:tcPr>
          <w:p w14:paraId="7339977C"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0.74</w:t>
            </w:r>
          </w:p>
        </w:tc>
        <w:tc>
          <w:tcPr>
            <w:tcW w:w="1756" w:type="dxa"/>
            <w:vAlign w:val="center"/>
            <w:hideMark/>
          </w:tcPr>
          <w:p w14:paraId="03756C0F" w14:textId="77777777" w:rsidR="002C43A8" w:rsidRPr="008E3BF7" w:rsidRDefault="002C43A8" w:rsidP="00237322">
            <w:pPr>
              <w:spacing w:after="0" w:line="240" w:lineRule="auto"/>
              <w:jc w:val="both"/>
              <w:rPr>
                <w:rFonts w:ascii="Arial" w:eastAsia="Times New Roman" w:hAnsi="Arial" w:cs="Arial"/>
                <w:sz w:val="16"/>
                <w:szCs w:val="16"/>
              </w:rPr>
            </w:pPr>
          </w:p>
        </w:tc>
        <w:tc>
          <w:tcPr>
            <w:tcW w:w="1740" w:type="dxa"/>
            <w:vAlign w:val="center"/>
            <w:hideMark/>
          </w:tcPr>
          <w:p w14:paraId="4ABF203D" w14:textId="77777777" w:rsidR="002C43A8" w:rsidRPr="008E3BF7" w:rsidRDefault="002C43A8" w:rsidP="00237322">
            <w:pPr>
              <w:spacing w:after="0" w:line="240" w:lineRule="auto"/>
              <w:jc w:val="both"/>
              <w:rPr>
                <w:rFonts w:ascii="Arial" w:eastAsia="Times New Roman" w:hAnsi="Arial" w:cs="Arial"/>
                <w:sz w:val="16"/>
                <w:szCs w:val="16"/>
              </w:rPr>
            </w:pPr>
          </w:p>
        </w:tc>
      </w:tr>
      <w:tr w:rsidR="007B51A5" w:rsidRPr="008E3BF7" w14:paraId="5CE02ECF" w14:textId="77777777" w:rsidTr="009F4971">
        <w:trPr>
          <w:trHeight w:val="16"/>
          <w:tblCellSpacing w:w="15" w:type="dxa"/>
          <w:jc w:val="center"/>
        </w:trPr>
        <w:tc>
          <w:tcPr>
            <w:tcW w:w="0" w:type="auto"/>
            <w:vAlign w:val="center"/>
            <w:hideMark/>
          </w:tcPr>
          <w:p w14:paraId="617F4B62"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Adjusted R</w:t>
            </w:r>
            <w:r w:rsidRPr="008E3BF7">
              <w:rPr>
                <w:rFonts w:ascii="Arial" w:eastAsia="Times New Roman" w:hAnsi="Arial" w:cs="Arial"/>
                <w:sz w:val="16"/>
                <w:szCs w:val="16"/>
                <w:vertAlign w:val="superscript"/>
              </w:rPr>
              <w:t>2</w:t>
            </w:r>
          </w:p>
        </w:tc>
        <w:tc>
          <w:tcPr>
            <w:tcW w:w="1811" w:type="dxa"/>
            <w:vAlign w:val="center"/>
            <w:hideMark/>
          </w:tcPr>
          <w:p w14:paraId="6B7BE67C"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0.53</w:t>
            </w:r>
          </w:p>
        </w:tc>
        <w:tc>
          <w:tcPr>
            <w:tcW w:w="2025" w:type="dxa"/>
            <w:vAlign w:val="center"/>
            <w:hideMark/>
          </w:tcPr>
          <w:p w14:paraId="0B4614DE"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0.71</w:t>
            </w:r>
          </w:p>
        </w:tc>
        <w:tc>
          <w:tcPr>
            <w:tcW w:w="1756" w:type="dxa"/>
            <w:vAlign w:val="center"/>
            <w:hideMark/>
          </w:tcPr>
          <w:p w14:paraId="1A9B38D4" w14:textId="77777777" w:rsidR="002C43A8" w:rsidRPr="008E3BF7" w:rsidRDefault="002C43A8" w:rsidP="00237322">
            <w:pPr>
              <w:spacing w:after="0" w:line="240" w:lineRule="auto"/>
              <w:jc w:val="both"/>
              <w:rPr>
                <w:rFonts w:ascii="Arial" w:eastAsia="Times New Roman" w:hAnsi="Arial" w:cs="Arial"/>
                <w:sz w:val="16"/>
                <w:szCs w:val="16"/>
              </w:rPr>
            </w:pPr>
          </w:p>
        </w:tc>
        <w:tc>
          <w:tcPr>
            <w:tcW w:w="1740" w:type="dxa"/>
            <w:vAlign w:val="center"/>
            <w:hideMark/>
          </w:tcPr>
          <w:p w14:paraId="4FDFEEFD" w14:textId="77777777" w:rsidR="002C43A8" w:rsidRPr="008E3BF7" w:rsidRDefault="002C43A8" w:rsidP="00237322">
            <w:pPr>
              <w:spacing w:after="0" w:line="240" w:lineRule="auto"/>
              <w:jc w:val="both"/>
              <w:rPr>
                <w:rFonts w:ascii="Arial" w:eastAsia="Times New Roman" w:hAnsi="Arial" w:cs="Arial"/>
                <w:sz w:val="16"/>
                <w:szCs w:val="16"/>
              </w:rPr>
            </w:pPr>
          </w:p>
        </w:tc>
      </w:tr>
      <w:tr w:rsidR="007B51A5" w:rsidRPr="008E3BF7" w14:paraId="3B8F1572" w14:textId="77777777" w:rsidTr="009F4971">
        <w:trPr>
          <w:trHeight w:val="16"/>
          <w:tblCellSpacing w:w="15" w:type="dxa"/>
          <w:jc w:val="center"/>
        </w:trPr>
        <w:tc>
          <w:tcPr>
            <w:tcW w:w="0" w:type="auto"/>
            <w:vAlign w:val="center"/>
            <w:hideMark/>
          </w:tcPr>
          <w:p w14:paraId="1F709F4E"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Log Likelihood</w:t>
            </w:r>
          </w:p>
        </w:tc>
        <w:tc>
          <w:tcPr>
            <w:tcW w:w="1811" w:type="dxa"/>
            <w:vAlign w:val="center"/>
            <w:hideMark/>
          </w:tcPr>
          <w:p w14:paraId="3E9C4096" w14:textId="77777777" w:rsidR="002C43A8" w:rsidRPr="008E3BF7" w:rsidRDefault="002C43A8" w:rsidP="00237322">
            <w:pPr>
              <w:spacing w:after="0" w:line="240" w:lineRule="auto"/>
              <w:jc w:val="both"/>
              <w:rPr>
                <w:rFonts w:ascii="Arial" w:eastAsia="Times New Roman" w:hAnsi="Arial" w:cs="Arial"/>
                <w:sz w:val="16"/>
                <w:szCs w:val="16"/>
              </w:rPr>
            </w:pPr>
          </w:p>
        </w:tc>
        <w:tc>
          <w:tcPr>
            <w:tcW w:w="2025" w:type="dxa"/>
            <w:vAlign w:val="center"/>
            <w:hideMark/>
          </w:tcPr>
          <w:p w14:paraId="0B669EC0" w14:textId="77777777" w:rsidR="002C43A8" w:rsidRPr="008E3BF7" w:rsidRDefault="002C43A8" w:rsidP="00237322">
            <w:pPr>
              <w:spacing w:after="0" w:line="240" w:lineRule="auto"/>
              <w:jc w:val="both"/>
              <w:rPr>
                <w:rFonts w:ascii="Arial" w:eastAsia="Times New Roman" w:hAnsi="Arial" w:cs="Arial"/>
                <w:sz w:val="16"/>
                <w:szCs w:val="16"/>
              </w:rPr>
            </w:pPr>
          </w:p>
        </w:tc>
        <w:tc>
          <w:tcPr>
            <w:tcW w:w="1756" w:type="dxa"/>
            <w:vAlign w:val="center"/>
            <w:hideMark/>
          </w:tcPr>
          <w:p w14:paraId="7AE4E092"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-86.10</w:t>
            </w:r>
          </w:p>
        </w:tc>
        <w:tc>
          <w:tcPr>
            <w:tcW w:w="1740" w:type="dxa"/>
            <w:vAlign w:val="center"/>
            <w:hideMark/>
          </w:tcPr>
          <w:p w14:paraId="3988436A"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-49.12</w:t>
            </w:r>
          </w:p>
        </w:tc>
      </w:tr>
      <w:tr w:rsidR="007B51A5" w:rsidRPr="008E3BF7" w14:paraId="1D98FA5C" w14:textId="77777777" w:rsidTr="009F4971">
        <w:trPr>
          <w:trHeight w:val="16"/>
          <w:tblCellSpacing w:w="15" w:type="dxa"/>
          <w:jc w:val="center"/>
        </w:trPr>
        <w:tc>
          <w:tcPr>
            <w:tcW w:w="0" w:type="auto"/>
            <w:vAlign w:val="center"/>
            <w:hideMark/>
          </w:tcPr>
          <w:p w14:paraId="7B368B61"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Akaike Inf. Crit.</w:t>
            </w:r>
          </w:p>
        </w:tc>
        <w:tc>
          <w:tcPr>
            <w:tcW w:w="1811" w:type="dxa"/>
            <w:vAlign w:val="center"/>
            <w:hideMark/>
          </w:tcPr>
          <w:p w14:paraId="768E07B0" w14:textId="77777777" w:rsidR="002C43A8" w:rsidRPr="008E3BF7" w:rsidRDefault="002C43A8" w:rsidP="00237322">
            <w:pPr>
              <w:spacing w:after="0" w:line="240" w:lineRule="auto"/>
              <w:jc w:val="both"/>
              <w:rPr>
                <w:rFonts w:ascii="Arial" w:eastAsia="Times New Roman" w:hAnsi="Arial" w:cs="Arial"/>
                <w:sz w:val="16"/>
                <w:szCs w:val="16"/>
              </w:rPr>
            </w:pPr>
          </w:p>
        </w:tc>
        <w:tc>
          <w:tcPr>
            <w:tcW w:w="2025" w:type="dxa"/>
            <w:vAlign w:val="center"/>
            <w:hideMark/>
          </w:tcPr>
          <w:p w14:paraId="41C9EA17" w14:textId="77777777" w:rsidR="002C43A8" w:rsidRPr="008E3BF7" w:rsidRDefault="002C43A8" w:rsidP="00237322">
            <w:pPr>
              <w:spacing w:after="0" w:line="240" w:lineRule="auto"/>
              <w:jc w:val="both"/>
              <w:rPr>
                <w:rFonts w:ascii="Arial" w:eastAsia="Times New Roman" w:hAnsi="Arial" w:cs="Arial"/>
                <w:sz w:val="16"/>
                <w:szCs w:val="16"/>
              </w:rPr>
            </w:pPr>
          </w:p>
        </w:tc>
        <w:tc>
          <w:tcPr>
            <w:tcW w:w="1756" w:type="dxa"/>
            <w:vAlign w:val="center"/>
            <w:hideMark/>
          </w:tcPr>
          <w:p w14:paraId="7A2657A2"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218.21</w:t>
            </w:r>
          </w:p>
        </w:tc>
        <w:tc>
          <w:tcPr>
            <w:tcW w:w="1740" w:type="dxa"/>
            <w:vAlign w:val="center"/>
            <w:hideMark/>
          </w:tcPr>
          <w:p w14:paraId="2BFCD58B"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144.23</w:t>
            </w:r>
          </w:p>
        </w:tc>
      </w:tr>
      <w:tr w:rsidR="007B51A5" w:rsidRPr="008E3BF7" w14:paraId="4D373C65" w14:textId="77777777" w:rsidTr="009F4971">
        <w:trPr>
          <w:trHeight w:val="16"/>
          <w:tblCellSpacing w:w="15" w:type="dxa"/>
          <w:jc w:val="center"/>
        </w:trPr>
        <w:tc>
          <w:tcPr>
            <w:tcW w:w="0" w:type="auto"/>
            <w:vAlign w:val="center"/>
            <w:hideMark/>
          </w:tcPr>
          <w:p w14:paraId="10C94C21"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Residual Std. Error</w:t>
            </w:r>
          </w:p>
        </w:tc>
        <w:tc>
          <w:tcPr>
            <w:tcW w:w="1811" w:type="dxa"/>
            <w:vAlign w:val="center"/>
            <w:hideMark/>
          </w:tcPr>
          <w:p w14:paraId="025FD6AE" w14:textId="77777777" w:rsidR="001958D6"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 xml:space="preserve">16.38 </w:t>
            </w:r>
          </w:p>
          <w:p w14:paraId="157A4404" w14:textId="644D3E6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(df = 301)</w:t>
            </w:r>
          </w:p>
        </w:tc>
        <w:tc>
          <w:tcPr>
            <w:tcW w:w="2025" w:type="dxa"/>
            <w:vAlign w:val="center"/>
            <w:hideMark/>
          </w:tcPr>
          <w:p w14:paraId="008AF4E0" w14:textId="77777777" w:rsidR="001958D6"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 xml:space="preserve">10.06 </w:t>
            </w:r>
          </w:p>
          <w:p w14:paraId="0E8FFF82" w14:textId="31BB7BD9"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(df = 249)</w:t>
            </w:r>
          </w:p>
        </w:tc>
        <w:tc>
          <w:tcPr>
            <w:tcW w:w="1756" w:type="dxa"/>
            <w:vAlign w:val="center"/>
            <w:hideMark/>
          </w:tcPr>
          <w:p w14:paraId="4549DE97" w14:textId="77777777" w:rsidR="002C43A8" w:rsidRPr="008E3BF7" w:rsidRDefault="002C43A8" w:rsidP="00237322">
            <w:pPr>
              <w:spacing w:after="0" w:line="240" w:lineRule="auto"/>
              <w:jc w:val="both"/>
              <w:rPr>
                <w:rFonts w:ascii="Arial" w:eastAsia="Times New Roman" w:hAnsi="Arial" w:cs="Arial"/>
                <w:sz w:val="16"/>
                <w:szCs w:val="16"/>
              </w:rPr>
            </w:pPr>
          </w:p>
        </w:tc>
        <w:tc>
          <w:tcPr>
            <w:tcW w:w="1740" w:type="dxa"/>
            <w:vAlign w:val="center"/>
            <w:hideMark/>
          </w:tcPr>
          <w:p w14:paraId="3DED21D2" w14:textId="77777777" w:rsidR="002C43A8" w:rsidRPr="008E3BF7" w:rsidRDefault="002C43A8" w:rsidP="00237322">
            <w:pPr>
              <w:spacing w:after="0" w:line="240" w:lineRule="auto"/>
              <w:jc w:val="both"/>
              <w:rPr>
                <w:rFonts w:ascii="Arial" w:eastAsia="Times New Roman" w:hAnsi="Arial" w:cs="Arial"/>
                <w:sz w:val="16"/>
                <w:szCs w:val="16"/>
              </w:rPr>
            </w:pPr>
          </w:p>
        </w:tc>
      </w:tr>
      <w:tr w:rsidR="007B51A5" w:rsidRPr="008E3BF7" w14:paraId="5C65EBDA" w14:textId="77777777" w:rsidTr="009F4971">
        <w:trPr>
          <w:trHeight w:val="16"/>
          <w:tblCellSpacing w:w="15" w:type="dxa"/>
          <w:jc w:val="center"/>
        </w:trPr>
        <w:tc>
          <w:tcPr>
            <w:tcW w:w="0" w:type="auto"/>
            <w:vAlign w:val="center"/>
            <w:hideMark/>
          </w:tcPr>
          <w:p w14:paraId="5B14D6FE" w14:textId="77777777" w:rsidR="009F4971" w:rsidRPr="008E3BF7" w:rsidRDefault="009F4971"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rPr>
              <w:t>F Statistic</w:t>
            </w:r>
          </w:p>
        </w:tc>
        <w:tc>
          <w:tcPr>
            <w:tcW w:w="1811" w:type="dxa"/>
            <w:vAlign w:val="center"/>
            <w:hideMark/>
          </w:tcPr>
          <w:p w14:paraId="28C3B591" w14:textId="77777777" w:rsidR="009F4971" w:rsidRPr="008E3BF7" w:rsidRDefault="009F4971" w:rsidP="00237322">
            <w:pPr>
              <w:spacing w:after="0" w:line="240" w:lineRule="auto"/>
              <w:jc w:val="both"/>
              <w:rPr>
                <w:rFonts w:ascii="Arial" w:hAnsi="Arial" w:cs="Arial"/>
                <w:sz w:val="16"/>
                <w:szCs w:val="16"/>
                <w:vertAlign w:val="superscript"/>
              </w:rPr>
            </w:pPr>
            <w:r w:rsidRPr="008E3BF7">
              <w:rPr>
                <w:rFonts w:ascii="Arial" w:hAnsi="Arial" w:cs="Arial"/>
                <w:sz w:val="16"/>
                <w:szCs w:val="16"/>
              </w:rPr>
              <w:t>17.53</w:t>
            </w:r>
            <w:r w:rsidRPr="008E3BF7">
              <w:rPr>
                <w:rFonts w:ascii="Arial" w:hAnsi="Arial" w:cs="Arial"/>
                <w:sz w:val="16"/>
                <w:szCs w:val="16"/>
                <w:vertAlign w:val="superscript"/>
              </w:rPr>
              <w:t>***</w:t>
            </w:r>
          </w:p>
          <w:p w14:paraId="4988A21E" w14:textId="1DA2AC4A" w:rsidR="009F4971" w:rsidRPr="008E3BF7" w:rsidRDefault="009F4971" w:rsidP="00237322">
            <w:pPr>
              <w:spacing w:after="0" w:line="240" w:lineRule="auto"/>
              <w:jc w:val="both"/>
              <w:rPr>
                <w:rFonts w:ascii="Arial" w:eastAsia="Times New Roman" w:hAnsi="Arial" w:cs="Arial"/>
                <w:sz w:val="16"/>
                <w:szCs w:val="16"/>
              </w:rPr>
            </w:pPr>
            <w:r w:rsidRPr="008E3BF7">
              <w:rPr>
                <w:rFonts w:ascii="Arial" w:hAnsi="Arial" w:cs="Arial"/>
                <w:sz w:val="16"/>
                <w:szCs w:val="16"/>
              </w:rPr>
              <w:t> (df = 22; 301)</w:t>
            </w:r>
          </w:p>
        </w:tc>
        <w:tc>
          <w:tcPr>
            <w:tcW w:w="2025" w:type="dxa"/>
            <w:vAlign w:val="center"/>
            <w:hideMark/>
          </w:tcPr>
          <w:p w14:paraId="1479DCE5" w14:textId="77777777" w:rsidR="009F4971" w:rsidRPr="008E3BF7" w:rsidRDefault="009F4971" w:rsidP="00237322">
            <w:pPr>
              <w:spacing w:after="0" w:line="240" w:lineRule="auto"/>
              <w:jc w:val="both"/>
              <w:rPr>
                <w:rFonts w:ascii="Arial" w:hAnsi="Arial" w:cs="Arial"/>
                <w:sz w:val="16"/>
                <w:szCs w:val="16"/>
              </w:rPr>
            </w:pPr>
            <w:r w:rsidRPr="008E3BF7">
              <w:rPr>
                <w:rFonts w:ascii="Arial" w:hAnsi="Arial" w:cs="Arial"/>
                <w:sz w:val="16"/>
                <w:szCs w:val="16"/>
              </w:rPr>
              <w:t>31.56</w:t>
            </w:r>
            <w:r w:rsidRPr="008E3BF7">
              <w:rPr>
                <w:rFonts w:ascii="Arial" w:hAnsi="Arial" w:cs="Arial"/>
                <w:sz w:val="16"/>
                <w:szCs w:val="16"/>
                <w:vertAlign w:val="superscript"/>
              </w:rPr>
              <w:t>***</w:t>
            </w:r>
            <w:r w:rsidRPr="008E3BF7">
              <w:rPr>
                <w:rFonts w:ascii="Arial" w:hAnsi="Arial" w:cs="Arial"/>
                <w:sz w:val="16"/>
                <w:szCs w:val="16"/>
              </w:rPr>
              <w:t> </w:t>
            </w:r>
          </w:p>
          <w:p w14:paraId="19C03C8E" w14:textId="29469975" w:rsidR="009F4971" w:rsidRPr="008E3BF7" w:rsidRDefault="009F4971" w:rsidP="00237322">
            <w:pPr>
              <w:spacing w:after="0" w:line="240" w:lineRule="auto"/>
              <w:jc w:val="both"/>
              <w:rPr>
                <w:rFonts w:ascii="Arial" w:eastAsia="Times New Roman" w:hAnsi="Arial" w:cs="Arial"/>
                <w:sz w:val="16"/>
                <w:szCs w:val="16"/>
              </w:rPr>
            </w:pPr>
            <w:r w:rsidRPr="008E3BF7">
              <w:rPr>
                <w:rFonts w:ascii="Arial" w:hAnsi="Arial" w:cs="Arial"/>
                <w:sz w:val="16"/>
                <w:szCs w:val="16"/>
              </w:rPr>
              <w:t>(df = 22; 249)</w:t>
            </w:r>
          </w:p>
        </w:tc>
        <w:tc>
          <w:tcPr>
            <w:tcW w:w="1756" w:type="dxa"/>
            <w:vAlign w:val="center"/>
            <w:hideMark/>
          </w:tcPr>
          <w:p w14:paraId="7EDFDD63" w14:textId="77777777" w:rsidR="009F4971" w:rsidRPr="008E3BF7" w:rsidRDefault="009F4971" w:rsidP="00237322">
            <w:pPr>
              <w:spacing w:after="0" w:line="240" w:lineRule="auto"/>
              <w:jc w:val="both"/>
              <w:rPr>
                <w:rFonts w:ascii="Arial" w:eastAsia="Times New Roman" w:hAnsi="Arial" w:cs="Arial"/>
                <w:sz w:val="16"/>
                <w:szCs w:val="16"/>
              </w:rPr>
            </w:pPr>
          </w:p>
        </w:tc>
        <w:tc>
          <w:tcPr>
            <w:tcW w:w="1740" w:type="dxa"/>
            <w:vAlign w:val="center"/>
            <w:hideMark/>
          </w:tcPr>
          <w:p w14:paraId="6D3D1BF1" w14:textId="77777777" w:rsidR="009F4971" w:rsidRPr="008E3BF7" w:rsidRDefault="009F4971" w:rsidP="00237322">
            <w:pPr>
              <w:spacing w:after="0" w:line="240" w:lineRule="auto"/>
              <w:jc w:val="both"/>
              <w:rPr>
                <w:rFonts w:ascii="Arial" w:eastAsia="Times New Roman" w:hAnsi="Arial" w:cs="Arial"/>
                <w:sz w:val="16"/>
                <w:szCs w:val="16"/>
              </w:rPr>
            </w:pPr>
          </w:p>
        </w:tc>
      </w:tr>
      <w:tr w:rsidR="002C43A8" w:rsidRPr="008E3BF7" w14:paraId="5F5AD697" w14:textId="77777777" w:rsidTr="009F4971">
        <w:trPr>
          <w:trHeight w:val="16"/>
          <w:tblCellSpacing w:w="15" w:type="dxa"/>
          <w:jc w:val="center"/>
        </w:trPr>
        <w:tc>
          <w:tcPr>
            <w:tcW w:w="9241" w:type="dxa"/>
            <w:gridSpan w:val="5"/>
            <w:tcBorders>
              <w:bottom w:val="single" w:sz="6" w:space="0" w:color="000000"/>
            </w:tcBorders>
            <w:vAlign w:val="center"/>
            <w:hideMark/>
          </w:tcPr>
          <w:p w14:paraId="4D15FB69" w14:textId="77777777" w:rsidR="002C43A8" w:rsidRPr="008E3BF7" w:rsidRDefault="002C43A8" w:rsidP="00237322">
            <w:pPr>
              <w:spacing w:after="0" w:line="240" w:lineRule="auto"/>
              <w:jc w:val="both"/>
              <w:rPr>
                <w:rFonts w:ascii="Arial" w:eastAsia="Times New Roman" w:hAnsi="Arial" w:cs="Arial"/>
                <w:sz w:val="16"/>
                <w:szCs w:val="16"/>
              </w:rPr>
            </w:pPr>
          </w:p>
        </w:tc>
      </w:tr>
      <w:tr w:rsidR="002C43A8" w:rsidRPr="008E3BF7" w14:paraId="4F99942C" w14:textId="77777777" w:rsidTr="009F4971">
        <w:trPr>
          <w:trHeight w:val="16"/>
          <w:tblCellSpacing w:w="15" w:type="dxa"/>
          <w:jc w:val="center"/>
        </w:trPr>
        <w:tc>
          <w:tcPr>
            <w:tcW w:w="0" w:type="auto"/>
            <w:vAlign w:val="center"/>
            <w:hideMark/>
          </w:tcPr>
          <w:p w14:paraId="3AE74AD4"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i/>
                <w:iCs/>
                <w:sz w:val="16"/>
                <w:szCs w:val="16"/>
              </w:rPr>
              <w:t>Note:</w:t>
            </w:r>
          </w:p>
        </w:tc>
        <w:tc>
          <w:tcPr>
            <w:tcW w:w="7423" w:type="dxa"/>
            <w:gridSpan w:val="4"/>
            <w:vAlign w:val="center"/>
            <w:hideMark/>
          </w:tcPr>
          <w:p w14:paraId="562E770A" w14:textId="77777777" w:rsidR="002C43A8" w:rsidRPr="008E3BF7" w:rsidRDefault="002C43A8" w:rsidP="00237322">
            <w:pPr>
              <w:spacing w:after="0" w:line="240" w:lineRule="auto"/>
              <w:jc w:val="both"/>
              <w:rPr>
                <w:rFonts w:ascii="Arial" w:eastAsia="Times New Roman" w:hAnsi="Arial" w:cs="Arial"/>
                <w:sz w:val="16"/>
                <w:szCs w:val="16"/>
              </w:rPr>
            </w:pPr>
            <w:r w:rsidRPr="008E3BF7">
              <w:rPr>
                <w:rFonts w:ascii="Arial" w:eastAsia="Times New Roman" w:hAnsi="Arial" w:cs="Arial"/>
                <w:sz w:val="16"/>
                <w:szCs w:val="16"/>
                <w:vertAlign w:val="superscript"/>
              </w:rPr>
              <w:t>*</w:t>
            </w:r>
            <w:r w:rsidRPr="008E3BF7">
              <w:rPr>
                <w:rFonts w:ascii="Arial" w:eastAsia="Times New Roman" w:hAnsi="Arial" w:cs="Arial"/>
                <w:sz w:val="16"/>
                <w:szCs w:val="16"/>
              </w:rPr>
              <w:t>p&lt;0.1; </w:t>
            </w:r>
            <w:r w:rsidRPr="008E3BF7">
              <w:rPr>
                <w:rFonts w:ascii="Arial" w:eastAsia="Times New Roman" w:hAnsi="Arial" w:cs="Arial"/>
                <w:sz w:val="16"/>
                <w:szCs w:val="16"/>
                <w:vertAlign w:val="superscript"/>
              </w:rPr>
              <w:t>**</w:t>
            </w:r>
            <w:r w:rsidRPr="008E3BF7">
              <w:rPr>
                <w:rFonts w:ascii="Arial" w:eastAsia="Times New Roman" w:hAnsi="Arial" w:cs="Arial"/>
                <w:sz w:val="16"/>
                <w:szCs w:val="16"/>
              </w:rPr>
              <w:t>p&lt;0.05; </w:t>
            </w:r>
            <w:r w:rsidRPr="008E3BF7">
              <w:rPr>
                <w:rFonts w:ascii="Arial" w:eastAsia="Times New Roman" w:hAnsi="Arial" w:cs="Arial"/>
                <w:sz w:val="16"/>
                <w:szCs w:val="16"/>
                <w:vertAlign w:val="superscript"/>
              </w:rPr>
              <w:t>***</w:t>
            </w:r>
            <w:r w:rsidRPr="008E3BF7">
              <w:rPr>
                <w:rFonts w:ascii="Arial" w:eastAsia="Times New Roman" w:hAnsi="Arial" w:cs="Arial"/>
                <w:sz w:val="16"/>
                <w:szCs w:val="16"/>
              </w:rPr>
              <w:t>p&lt;0.01</w:t>
            </w:r>
          </w:p>
        </w:tc>
      </w:tr>
    </w:tbl>
    <w:p w14:paraId="599BFB77" w14:textId="77777777" w:rsidR="002C43A8" w:rsidRPr="008E3BF7" w:rsidRDefault="002C43A8" w:rsidP="00237322">
      <w:pPr>
        <w:spacing w:after="0" w:line="240" w:lineRule="auto"/>
        <w:ind w:firstLine="720"/>
        <w:jc w:val="both"/>
        <w:rPr>
          <w:rFonts w:ascii="Arial" w:hAnsi="Arial" w:cs="Arial"/>
          <w:sz w:val="20"/>
          <w:szCs w:val="20"/>
        </w:rPr>
      </w:pPr>
    </w:p>
    <w:p w14:paraId="3892ECE2" w14:textId="755F06C3" w:rsidR="0026503F" w:rsidRPr="008E3BF7" w:rsidRDefault="00460F1B" w:rsidP="00237322">
      <w:pPr>
        <w:spacing w:after="0" w:line="240" w:lineRule="auto"/>
        <w:ind w:firstLine="720"/>
        <w:jc w:val="both"/>
        <w:rPr>
          <w:rFonts w:ascii="Arial" w:hAnsi="Arial" w:cs="Arial"/>
          <w:sz w:val="20"/>
          <w:szCs w:val="20"/>
        </w:rPr>
      </w:pPr>
      <w:r w:rsidRPr="008E3BF7">
        <w:rPr>
          <w:rFonts w:ascii="Arial" w:hAnsi="Arial" w:cs="Arial"/>
          <w:sz w:val="20"/>
          <w:szCs w:val="20"/>
        </w:rPr>
        <w:t>According to the Shapley value decomposition of each variable’s contribution to the overall explanatory power of these models, we</w:t>
      </w:r>
      <w:r w:rsidR="00B844A9" w:rsidRPr="008E3BF7">
        <w:rPr>
          <w:rFonts w:ascii="Arial" w:hAnsi="Arial" w:cs="Arial"/>
          <w:sz w:val="20"/>
          <w:szCs w:val="20"/>
        </w:rPr>
        <w:t xml:space="preserve"> inferred the relative importance of country, sector, guest type and month in explaining the heterogeneity of losses</w:t>
      </w:r>
      <w:r w:rsidR="007A1953" w:rsidRPr="008E3BF7">
        <w:rPr>
          <w:rFonts w:ascii="Arial" w:hAnsi="Arial" w:cs="Arial"/>
          <w:sz w:val="20"/>
          <w:szCs w:val="20"/>
        </w:rPr>
        <w:t xml:space="preserve"> (Table 3)</w:t>
      </w:r>
      <w:r w:rsidR="00B844A9" w:rsidRPr="008E3BF7">
        <w:rPr>
          <w:rFonts w:ascii="Arial" w:hAnsi="Arial" w:cs="Arial"/>
          <w:sz w:val="20"/>
          <w:szCs w:val="20"/>
        </w:rPr>
        <w:t>.</w:t>
      </w:r>
      <w:r w:rsidR="00933833" w:rsidRPr="008E3BF7">
        <w:rPr>
          <w:rFonts w:ascii="Arial" w:hAnsi="Arial" w:cs="Arial"/>
          <w:sz w:val="20"/>
          <w:szCs w:val="20"/>
        </w:rPr>
        <w:t xml:space="preserve"> Month played by far the largest role, yet country-differences’ contribution was also substantial - around 20-30%. While being less important, the combined influence of the sector and the guest type is also quite substantial (10-15%). </w:t>
      </w:r>
    </w:p>
    <w:p w14:paraId="7F279DC8" w14:textId="54B3F48B" w:rsidR="00B844A9" w:rsidRPr="008E3BF7" w:rsidRDefault="00B844A9" w:rsidP="00237322">
      <w:pPr>
        <w:spacing w:after="0" w:line="240" w:lineRule="auto"/>
        <w:jc w:val="both"/>
        <w:rPr>
          <w:rFonts w:ascii="Arial" w:hAnsi="Arial" w:cs="Arial"/>
          <w:sz w:val="20"/>
          <w:szCs w:val="20"/>
        </w:rPr>
      </w:pPr>
    </w:p>
    <w:p w14:paraId="16B953B0" w14:textId="5C0AC193" w:rsidR="009D37F8" w:rsidRPr="008E3BF7" w:rsidRDefault="009D37F8" w:rsidP="00237322">
      <w:pPr>
        <w:spacing w:after="0" w:line="240" w:lineRule="auto"/>
        <w:jc w:val="both"/>
        <w:rPr>
          <w:rFonts w:ascii="Arial" w:hAnsi="Arial" w:cs="Arial"/>
          <w:sz w:val="20"/>
          <w:szCs w:val="20"/>
        </w:rPr>
      </w:pPr>
      <w:r w:rsidRPr="008E3BF7">
        <w:rPr>
          <w:rFonts w:ascii="Arial" w:hAnsi="Arial" w:cs="Arial"/>
          <w:sz w:val="20"/>
          <w:szCs w:val="20"/>
        </w:rPr>
        <w:t xml:space="preserve">Table </w:t>
      </w:r>
      <w:r w:rsidR="007A1953" w:rsidRPr="008E3BF7">
        <w:rPr>
          <w:rFonts w:ascii="Arial" w:hAnsi="Arial" w:cs="Arial"/>
          <w:sz w:val="20"/>
          <w:szCs w:val="20"/>
        </w:rPr>
        <w:t>3</w:t>
      </w:r>
      <w:r w:rsidRPr="008E3BF7">
        <w:rPr>
          <w:rFonts w:ascii="Arial" w:hAnsi="Arial" w:cs="Arial"/>
          <w:sz w:val="20"/>
          <w:szCs w:val="20"/>
        </w:rPr>
        <w:t>. Percentage contributions of independent variables to the explanatory power of regression models (based on Shapley value decomposition)</w:t>
      </w:r>
    </w:p>
    <w:tbl>
      <w:tblPr>
        <w:tblStyle w:val="TableGrid"/>
        <w:tblW w:w="8068" w:type="dxa"/>
        <w:tblLook w:val="04A0" w:firstRow="1" w:lastRow="0" w:firstColumn="1" w:lastColumn="0" w:noHBand="0" w:noVBand="1"/>
      </w:tblPr>
      <w:tblGrid>
        <w:gridCol w:w="1099"/>
        <w:gridCol w:w="1920"/>
        <w:gridCol w:w="1442"/>
        <w:gridCol w:w="1651"/>
        <w:gridCol w:w="1956"/>
      </w:tblGrid>
      <w:tr w:rsidR="009D37F8" w:rsidRPr="008E3BF7" w14:paraId="1921788B" w14:textId="77777777" w:rsidTr="00237322">
        <w:trPr>
          <w:trHeight w:val="159"/>
        </w:trPr>
        <w:tc>
          <w:tcPr>
            <w:tcW w:w="1099" w:type="dxa"/>
            <w:vMerge w:val="restart"/>
          </w:tcPr>
          <w:p w14:paraId="49BD6D00" w14:textId="2002D44A"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Factor</w:t>
            </w:r>
          </w:p>
        </w:tc>
        <w:tc>
          <w:tcPr>
            <w:tcW w:w="6969" w:type="dxa"/>
            <w:gridSpan w:val="4"/>
          </w:tcPr>
          <w:p w14:paraId="67A0A687" w14:textId="0771BC56"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 xml:space="preserve">Regression specification from Table </w:t>
            </w:r>
            <w:r w:rsidR="007A1953" w:rsidRPr="008E3BF7">
              <w:rPr>
                <w:rFonts w:ascii="Arial" w:hAnsi="Arial" w:cs="Arial"/>
                <w:b/>
                <w:bCs/>
                <w:sz w:val="20"/>
                <w:szCs w:val="20"/>
              </w:rPr>
              <w:t>2</w:t>
            </w:r>
          </w:p>
        </w:tc>
      </w:tr>
      <w:tr w:rsidR="009D37F8" w:rsidRPr="008E3BF7" w14:paraId="00B64719" w14:textId="77777777" w:rsidTr="00237322">
        <w:trPr>
          <w:trHeight w:val="165"/>
        </w:trPr>
        <w:tc>
          <w:tcPr>
            <w:tcW w:w="1099" w:type="dxa"/>
            <w:vMerge/>
          </w:tcPr>
          <w:p w14:paraId="341A1B67" w14:textId="77777777" w:rsidR="009D37F8" w:rsidRPr="008E3BF7" w:rsidRDefault="009D37F8" w:rsidP="00237322">
            <w:pPr>
              <w:jc w:val="both"/>
              <w:rPr>
                <w:rFonts w:ascii="Arial" w:hAnsi="Arial" w:cs="Arial"/>
                <w:b/>
                <w:bCs/>
                <w:sz w:val="20"/>
                <w:szCs w:val="20"/>
              </w:rPr>
            </w:pPr>
          </w:p>
        </w:tc>
        <w:tc>
          <w:tcPr>
            <w:tcW w:w="1920" w:type="dxa"/>
          </w:tcPr>
          <w:p w14:paraId="689A0D04" w14:textId="2B3ED7A8"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(1)</w:t>
            </w:r>
          </w:p>
        </w:tc>
        <w:tc>
          <w:tcPr>
            <w:tcW w:w="1442" w:type="dxa"/>
          </w:tcPr>
          <w:p w14:paraId="17CEF703" w14:textId="737A5907"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(2)</w:t>
            </w:r>
          </w:p>
        </w:tc>
        <w:tc>
          <w:tcPr>
            <w:tcW w:w="1651" w:type="dxa"/>
          </w:tcPr>
          <w:p w14:paraId="544567EB" w14:textId="122A64FA"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(3)</w:t>
            </w:r>
          </w:p>
        </w:tc>
        <w:tc>
          <w:tcPr>
            <w:tcW w:w="1954" w:type="dxa"/>
          </w:tcPr>
          <w:p w14:paraId="78F2410B" w14:textId="1EC428C3" w:rsidR="009D37F8" w:rsidRPr="008E3BF7" w:rsidRDefault="009D37F8" w:rsidP="00237322">
            <w:pPr>
              <w:jc w:val="both"/>
              <w:rPr>
                <w:rFonts w:ascii="Arial" w:hAnsi="Arial" w:cs="Arial"/>
                <w:b/>
                <w:bCs/>
                <w:sz w:val="20"/>
                <w:szCs w:val="20"/>
              </w:rPr>
            </w:pPr>
            <w:r w:rsidRPr="008E3BF7">
              <w:rPr>
                <w:rFonts w:ascii="Arial" w:hAnsi="Arial" w:cs="Arial"/>
                <w:b/>
                <w:bCs/>
                <w:sz w:val="20"/>
                <w:szCs w:val="20"/>
              </w:rPr>
              <w:t>(4)</w:t>
            </w:r>
          </w:p>
        </w:tc>
      </w:tr>
      <w:tr w:rsidR="009D37F8" w:rsidRPr="008E3BF7" w14:paraId="2FBD6BE3" w14:textId="77777777" w:rsidTr="00237322">
        <w:trPr>
          <w:trHeight w:val="159"/>
        </w:trPr>
        <w:tc>
          <w:tcPr>
            <w:tcW w:w="1099" w:type="dxa"/>
          </w:tcPr>
          <w:p w14:paraId="6BD2468C" w14:textId="2AF4BEA2" w:rsidR="009D37F8" w:rsidRPr="008E3BF7" w:rsidRDefault="002854E3" w:rsidP="00237322">
            <w:pPr>
              <w:jc w:val="both"/>
              <w:rPr>
                <w:rFonts w:ascii="Arial" w:hAnsi="Arial" w:cs="Arial"/>
                <w:b/>
                <w:bCs/>
                <w:sz w:val="20"/>
                <w:szCs w:val="20"/>
              </w:rPr>
            </w:pPr>
            <w:r w:rsidRPr="008E3BF7">
              <w:rPr>
                <w:rFonts w:ascii="Arial" w:hAnsi="Arial" w:cs="Arial"/>
                <w:b/>
                <w:bCs/>
                <w:sz w:val="20"/>
                <w:szCs w:val="20"/>
              </w:rPr>
              <w:t>C</w:t>
            </w:r>
            <w:r w:rsidR="009D37F8" w:rsidRPr="008E3BF7">
              <w:rPr>
                <w:rFonts w:ascii="Arial" w:hAnsi="Arial" w:cs="Arial"/>
                <w:b/>
                <w:bCs/>
                <w:sz w:val="20"/>
                <w:szCs w:val="20"/>
              </w:rPr>
              <w:t>ountry</w:t>
            </w:r>
          </w:p>
        </w:tc>
        <w:tc>
          <w:tcPr>
            <w:tcW w:w="1920" w:type="dxa"/>
          </w:tcPr>
          <w:p w14:paraId="7CE9591A" w14:textId="544563C7" w:rsidR="009D37F8" w:rsidRPr="008E3BF7" w:rsidRDefault="009D37F8" w:rsidP="00237322">
            <w:pPr>
              <w:jc w:val="both"/>
              <w:rPr>
                <w:rFonts w:ascii="Arial" w:hAnsi="Arial" w:cs="Arial"/>
                <w:sz w:val="20"/>
                <w:szCs w:val="20"/>
              </w:rPr>
            </w:pPr>
            <w:r w:rsidRPr="008E3BF7">
              <w:rPr>
                <w:rFonts w:ascii="Arial" w:hAnsi="Arial" w:cs="Arial"/>
                <w:sz w:val="20"/>
                <w:szCs w:val="20"/>
              </w:rPr>
              <w:t>29.2</w:t>
            </w:r>
          </w:p>
        </w:tc>
        <w:tc>
          <w:tcPr>
            <w:tcW w:w="1442" w:type="dxa"/>
          </w:tcPr>
          <w:p w14:paraId="2CF7805A" w14:textId="0511A070" w:rsidR="009D37F8" w:rsidRPr="008E3BF7" w:rsidRDefault="009D37F8" w:rsidP="00237322">
            <w:pPr>
              <w:jc w:val="both"/>
              <w:rPr>
                <w:rFonts w:ascii="Arial" w:hAnsi="Arial" w:cs="Arial"/>
                <w:sz w:val="20"/>
                <w:szCs w:val="20"/>
              </w:rPr>
            </w:pPr>
            <w:r w:rsidRPr="008E3BF7">
              <w:rPr>
                <w:rFonts w:ascii="Arial" w:hAnsi="Arial" w:cs="Arial"/>
                <w:sz w:val="20"/>
                <w:szCs w:val="20"/>
              </w:rPr>
              <w:t>21.5</w:t>
            </w:r>
          </w:p>
        </w:tc>
        <w:tc>
          <w:tcPr>
            <w:tcW w:w="1651" w:type="dxa"/>
          </w:tcPr>
          <w:p w14:paraId="5DF8FC88" w14:textId="1044A5AF" w:rsidR="009D37F8" w:rsidRPr="008E3BF7" w:rsidRDefault="009D37F8" w:rsidP="00237322">
            <w:pPr>
              <w:jc w:val="both"/>
              <w:rPr>
                <w:rFonts w:ascii="Arial" w:hAnsi="Arial" w:cs="Arial"/>
                <w:sz w:val="20"/>
                <w:szCs w:val="20"/>
              </w:rPr>
            </w:pPr>
            <w:r w:rsidRPr="008E3BF7">
              <w:rPr>
                <w:rFonts w:ascii="Arial" w:hAnsi="Arial" w:cs="Arial"/>
                <w:sz w:val="20"/>
                <w:szCs w:val="20"/>
              </w:rPr>
              <w:t>32.6</w:t>
            </w:r>
          </w:p>
        </w:tc>
        <w:tc>
          <w:tcPr>
            <w:tcW w:w="1954" w:type="dxa"/>
          </w:tcPr>
          <w:p w14:paraId="1F0C2392" w14:textId="3494D882" w:rsidR="009D37F8" w:rsidRPr="008E3BF7" w:rsidRDefault="009D37F8" w:rsidP="00237322">
            <w:pPr>
              <w:jc w:val="both"/>
              <w:rPr>
                <w:rFonts w:ascii="Arial" w:hAnsi="Arial" w:cs="Arial"/>
                <w:sz w:val="20"/>
                <w:szCs w:val="20"/>
              </w:rPr>
            </w:pPr>
            <w:r w:rsidRPr="008E3BF7">
              <w:rPr>
                <w:rFonts w:ascii="Arial" w:hAnsi="Arial" w:cs="Arial"/>
                <w:sz w:val="20"/>
                <w:szCs w:val="20"/>
              </w:rPr>
              <w:t>24.6</w:t>
            </w:r>
          </w:p>
        </w:tc>
      </w:tr>
      <w:tr w:rsidR="009D37F8" w:rsidRPr="008E3BF7" w14:paraId="052C80E0" w14:textId="77777777" w:rsidTr="00237322">
        <w:trPr>
          <w:trHeight w:val="159"/>
        </w:trPr>
        <w:tc>
          <w:tcPr>
            <w:tcW w:w="1099" w:type="dxa"/>
          </w:tcPr>
          <w:p w14:paraId="10E0A0C2" w14:textId="09BBCDE3" w:rsidR="009D37F8" w:rsidRPr="008E3BF7" w:rsidRDefault="002854E3" w:rsidP="00237322">
            <w:pPr>
              <w:jc w:val="both"/>
              <w:rPr>
                <w:rFonts w:ascii="Arial" w:hAnsi="Arial" w:cs="Arial"/>
                <w:b/>
                <w:bCs/>
                <w:sz w:val="20"/>
                <w:szCs w:val="20"/>
              </w:rPr>
            </w:pPr>
            <w:r w:rsidRPr="008E3BF7">
              <w:rPr>
                <w:rFonts w:ascii="Arial" w:hAnsi="Arial" w:cs="Arial"/>
                <w:b/>
                <w:bCs/>
                <w:sz w:val="20"/>
                <w:szCs w:val="20"/>
              </w:rPr>
              <w:t>S</w:t>
            </w:r>
            <w:r w:rsidR="009D37F8" w:rsidRPr="008E3BF7">
              <w:rPr>
                <w:rFonts w:ascii="Arial" w:hAnsi="Arial" w:cs="Arial"/>
                <w:b/>
                <w:bCs/>
                <w:sz w:val="20"/>
                <w:szCs w:val="20"/>
              </w:rPr>
              <w:t>ector</w:t>
            </w:r>
          </w:p>
        </w:tc>
        <w:tc>
          <w:tcPr>
            <w:tcW w:w="1920" w:type="dxa"/>
          </w:tcPr>
          <w:p w14:paraId="1483FC49" w14:textId="4D42B3F7" w:rsidR="009D37F8" w:rsidRPr="008E3BF7" w:rsidRDefault="009D37F8" w:rsidP="00237322">
            <w:pPr>
              <w:jc w:val="both"/>
              <w:rPr>
                <w:rFonts w:ascii="Arial" w:hAnsi="Arial" w:cs="Arial"/>
                <w:sz w:val="20"/>
                <w:szCs w:val="20"/>
              </w:rPr>
            </w:pPr>
            <w:r w:rsidRPr="008E3BF7">
              <w:rPr>
                <w:rFonts w:ascii="Arial" w:hAnsi="Arial" w:cs="Arial"/>
                <w:sz w:val="20"/>
                <w:szCs w:val="20"/>
              </w:rPr>
              <w:t>3.0</w:t>
            </w:r>
          </w:p>
        </w:tc>
        <w:tc>
          <w:tcPr>
            <w:tcW w:w="1442" w:type="dxa"/>
          </w:tcPr>
          <w:p w14:paraId="63EE1B94" w14:textId="12FEE22D" w:rsidR="009D37F8" w:rsidRPr="008E3BF7" w:rsidRDefault="009D37F8" w:rsidP="00237322">
            <w:pPr>
              <w:jc w:val="both"/>
              <w:rPr>
                <w:rFonts w:ascii="Arial" w:hAnsi="Arial" w:cs="Arial"/>
                <w:sz w:val="20"/>
                <w:szCs w:val="20"/>
              </w:rPr>
            </w:pPr>
            <w:r w:rsidRPr="008E3BF7">
              <w:rPr>
                <w:rFonts w:ascii="Arial" w:hAnsi="Arial" w:cs="Arial"/>
                <w:sz w:val="20"/>
                <w:szCs w:val="20"/>
              </w:rPr>
              <w:t>3.7</w:t>
            </w:r>
          </w:p>
        </w:tc>
        <w:tc>
          <w:tcPr>
            <w:tcW w:w="1651" w:type="dxa"/>
          </w:tcPr>
          <w:p w14:paraId="037A4D4E" w14:textId="57378AD9" w:rsidR="009D37F8" w:rsidRPr="008E3BF7" w:rsidRDefault="009D37F8" w:rsidP="00237322">
            <w:pPr>
              <w:jc w:val="both"/>
              <w:rPr>
                <w:rFonts w:ascii="Arial" w:hAnsi="Arial" w:cs="Arial"/>
                <w:sz w:val="20"/>
                <w:szCs w:val="20"/>
              </w:rPr>
            </w:pPr>
            <w:r w:rsidRPr="008E3BF7">
              <w:rPr>
                <w:rFonts w:ascii="Arial" w:hAnsi="Arial" w:cs="Arial"/>
                <w:sz w:val="20"/>
                <w:szCs w:val="20"/>
              </w:rPr>
              <w:t>3.0</w:t>
            </w:r>
          </w:p>
        </w:tc>
        <w:tc>
          <w:tcPr>
            <w:tcW w:w="1954" w:type="dxa"/>
          </w:tcPr>
          <w:p w14:paraId="26722CC6" w14:textId="08D69102" w:rsidR="009D37F8" w:rsidRPr="008E3BF7" w:rsidRDefault="009D37F8" w:rsidP="00237322">
            <w:pPr>
              <w:jc w:val="both"/>
              <w:rPr>
                <w:rFonts w:ascii="Arial" w:hAnsi="Arial" w:cs="Arial"/>
                <w:sz w:val="20"/>
                <w:szCs w:val="20"/>
              </w:rPr>
            </w:pPr>
            <w:r w:rsidRPr="008E3BF7">
              <w:rPr>
                <w:rFonts w:ascii="Arial" w:hAnsi="Arial" w:cs="Arial"/>
                <w:sz w:val="20"/>
                <w:szCs w:val="20"/>
              </w:rPr>
              <w:t>4.7</w:t>
            </w:r>
          </w:p>
        </w:tc>
      </w:tr>
      <w:tr w:rsidR="009D37F8" w:rsidRPr="008E3BF7" w14:paraId="05766B1B" w14:textId="77777777" w:rsidTr="00237322">
        <w:trPr>
          <w:trHeight w:val="159"/>
        </w:trPr>
        <w:tc>
          <w:tcPr>
            <w:tcW w:w="1099" w:type="dxa"/>
          </w:tcPr>
          <w:p w14:paraId="1758B5CB" w14:textId="0E51EB77" w:rsidR="009D37F8" w:rsidRPr="008E3BF7" w:rsidRDefault="002854E3" w:rsidP="00237322">
            <w:pPr>
              <w:jc w:val="both"/>
              <w:rPr>
                <w:rFonts w:ascii="Arial" w:hAnsi="Arial" w:cs="Arial"/>
                <w:b/>
                <w:bCs/>
                <w:sz w:val="20"/>
                <w:szCs w:val="20"/>
              </w:rPr>
            </w:pPr>
            <w:r w:rsidRPr="008E3BF7">
              <w:rPr>
                <w:rFonts w:ascii="Arial" w:hAnsi="Arial" w:cs="Arial"/>
                <w:b/>
                <w:bCs/>
                <w:sz w:val="20"/>
                <w:szCs w:val="20"/>
              </w:rPr>
              <w:t>G</w:t>
            </w:r>
            <w:r w:rsidR="009D37F8" w:rsidRPr="008E3BF7">
              <w:rPr>
                <w:rFonts w:ascii="Arial" w:hAnsi="Arial" w:cs="Arial"/>
                <w:b/>
                <w:bCs/>
                <w:sz w:val="20"/>
                <w:szCs w:val="20"/>
              </w:rPr>
              <w:t>uest</w:t>
            </w:r>
            <w:r w:rsidRPr="008E3BF7">
              <w:rPr>
                <w:rFonts w:ascii="Arial" w:hAnsi="Arial" w:cs="Arial"/>
                <w:b/>
                <w:bCs/>
                <w:sz w:val="20"/>
                <w:szCs w:val="20"/>
              </w:rPr>
              <w:t xml:space="preserve"> type</w:t>
            </w:r>
          </w:p>
        </w:tc>
        <w:tc>
          <w:tcPr>
            <w:tcW w:w="1920" w:type="dxa"/>
          </w:tcPr>
          <w:p w14:paraId="4142EADD" w14:textId="2A85BBF7" w:rsidR="009D37F8" w:rsidRPr="008E3BF7" w:rsidRDefault="009D37F8" w:rsidP="00237322">
            <w:pPr>
              <w:jc w:val="both"/>
              <w:rPr>
                <w:rFonts w:ascii="Arial" w:hAnsi="Arial" w:cs="Arial"/>
                <w:sz w:val="20"/>
                <w:szCs w:val="20"/>
              </w:rPr>
            </w:pPr>
            <w:r w:rsidRPr="008E3BF7">
              <w:rPr>
                <w:rFonts w:ascii="Arial" w:hAnsi="Arial" w:cs="Arial"/>
                <w:sz w:val="20"/>
                <w:szCs w:val="20"/>
              </w:rPr>
              <w:t>11.1</w:t>
            </w:r>
          </w:p>
        </w:tc>
        <w:tc>
          <w:tcPr>
            <w:tcW w:w="1442" w:type="dxa"/>
          </w:tcPr>
          <w:p w14:paraId="113C6DCA" w14:textId="6788BC15" w:rsidR="009D37F8" w:rsidRPr="008E3BF7" w:rsidRDefault="009D37F8" w:rsidP="00237322">
            <w:pPr>
              <w:jc w:val="both"/>
              <w:rPr>
                <w:rFonts w:ascii="Arial" w:hAnsi="Arial" w:cs="Arial"/>
                <w:sz w:val="20"/>
                <w:szCs w:val="20"/>
              </w:rPr>
            </w:pPr>
            <w:r w:rsidRPr="008E3BF7">
              <w:rPr>
                <w:rFonts w:ascii="Arial" w:hAnsi="Arial" w:cs="Arial"/>
                <w:sz w:val="20"/>
                <w:szCs w:val="20"/>
              </w:rPr>
              <w:t>9.5</w:t>
            </w:r>
          </w:p>
        </w:tc>
        <w:tc>
          <w:tcPr>
            <w:tcW w:w="1651" w:type="dxa"/>
          </w:tcPr>
          <w:p w14:paraId="094BF83D" w14:textId="03A46B2B" w:rsidR="009D37F8" w:rsidRPr="008E3BF7" w:rsidRDefault="009D37F8" w:rsidP="00237322">
            <w:pPr>
              <w:jc w:val="both"/>
              <w:rPr>
                <w:rFonts w:ascii="Arial" w:hAnsi="Arial" w:cs="Arial"/>
                <w:sz w:val="20"/>
                <w:szCs w:val="20"/>
              </w:rPr>
            </w:pPr>
            <w:r w:rsidRPr="008E3BF7">
              <w:rPr>
                <w:rFonts w:ascii="Arial" w:hAnsi="Arial" w:cs="Arial"/>
                <w:sz w:val="20"/>
                <w:szCs w:val="20"/>
              </w:rPr>
              <w:t>9.0</w:t>
            </w:r>
          </w:p>
        </w:tc>
        <w:tc>
          <w:tcPr>
            <w:tcW w:w="1954" w:type="dxa"/>
          </w:tcPr>
          <w:p w14:paraId="3F38EA04" w14:textId="55AFF58F" w:rsidR="009D37F8" w:rsidRPr="008E3BF7" w:rsidRDefault="009D37F8" w:rsidP="00237322">
            <w:pPr>
              <w:jc w:val="both"/>
              <w:rPr>
                <w:rFonts w:ascii="Arial" w:hAnsi="Arial" w:cs="Arial"/>
                <w:sz w:val="20"/>
                <w:szCs w:val="20"/>
              </w:rPr>
            </w:pPr>
            <w:r w:rsidRPr="008E3BF7">
              <w:rPr>
                <w:rFonts w:ascii="Arial" w:hAnsi="Arial" w:cs="Arial"/>
                <w:sz w:val="20"/>
                <w:szCs w:val="20"/>
              </w:rPr>
              <w:t>5.9</w:t>
            </w:r>
          </w:p>
        </w:tc>
      </w:tr>
      <w:tr w:rsidR="009D37F8" w:rsidRPr="008E3BF7" w14:paraId="10A8D3C0" w14:textId="77777777" w:rsidTr="00237322">
        <w:trPr>
          <w:trHeight w:val="159"/>
        </w:trPr>
        <w:tc>
          <w:tcPr>
            <w:tcW w:w="1099" w:type="dxa"/>
          </w:tcPr>
          <w:p w14:paraId="2AF7A182" w14:textId="265A6B68" w:rsidR="009D37F8" w:rsidRPr="008E3BF7" w:rsidRDefault="002854E3" w:rsidP="00237322">
            <w:pPr>
              <w:jc w:val="both"/>
              <w:rPr>
                <w:rFonts w:ascii="Arial" w:hAnsi="Arial" w:cs="Arial"/>
                <w:b/>
                <w:bCs/>
                <w:sz w:val="20"/>
                <w:szCs w:val="20"/>
              </w:rPr>
            </w:pPr>
            <w:r w:rsidRPr="008E3BF7">
              <w:rPr>
                <w:rFonts w:ascii="Arial" w:hAnsi="Arial" w:cs="Arial"/>
                <w:b/>
                <w:bCs/>
                <w:sz w:val="20"/>
                <w:szCs w:val="20"/>
              </w:rPr>
              <w:t>M</w:t>
            </w:r>
            <w:r w:rsidR="009D37F8" w:rsidRPr="008E3BF7">
              <w:rPr>
                <w:rFonts w:ascii="Arial" w:hAnsi="Arial" w:cs="Arial"/>
                <w:b/>
                <w:bCs/>
                <w:sz w:val="20"/>
                <w:szCs w:val="20"/>
              </w:rPr>
              <w:t>onth</w:t>
            </w:r>
          </w:p>
        </w:tc>
        <w:tc>
          <w:tcPr>
            <w:tcW w:w="1920" w:type="dxa"/>
          </w:tcPr>
          <w:p w14:paraId="78FBC2A1" w14:textId="5A6C5DD8" w:rsidR="009D37F8" w:rsidRPr="008E3BF7" w:rsidRDefault="009D37F8" w:rsidP="00237322">
            <w:pPr>
              <w:jc w:val="both"/>
              <w:rPr>
                <w:rFonts w:ascii="Arial" w:hAnsi="Arial" w:cs="Arial"/>
                <w:sz w:val="20"/>
                <w:szCs w:val="20"/>
              </w:rPr>
            </w:pPr>
            <w:r w:rsidRPr="008E3BF7">
              <w:rPr>
                <w:rFonts w:ascii="Arial" w:hAnsi="Arial" w:cs="Arial"/>
                <w:sz w:val="20"/>
                <w:szCs w:val="20"/>
              </w:rPr>
              <w:t>56.7</w:t>
            </w:r>
          </w:p>
        </w:tc>
        <w:tc>
          <w:tcPr>
            <w:tcW w:w="1442" w:type="dxa"/>
          </w:tcPr>
          <w:p w14:paraId="55CBD0D4" w14:textId="0A58FAB8" w:rsidR="009D37F8" w:rsidRPr="008E3BF7" w:rsidRDefault="009D37F8" w:rsidP="00237322">
            <w:pPr>
              <w:jc w:val="both"/>
              <w:rPr>
                <w:rFonts w:ascii="Arial" w:hAnsi="Arial" w:cs="Arial"/>
                <w:sz w:val="20"/>
                <w:szCs w:val="20"/>
              </w:rPr>
            </w:pPr>
            <w:r w:rsidRPr="008E3BF7">
              <w:rPr>
                <w:rFonts w:ascii="Arial" w:hAnsi="Arial" w:cs="Arial"/>
                <w:sz w:val="20"/>
                <w:szCs w:val="20"/>
              </w:rPr>
              <w:t>65.4</w:t>
            </w:r>
          </w:p>
        </w:tc>
        <w:tc>
          <w:tcPr>
            <w:tcW w:w="1651" w:type="dxa"/>
          </w:tcPr>
          <w:p w14:paraId="1D513425" w14:textId="129710C1" w:rsidR="009D37F8" w:rsidRPr="008E3BF7" w:rsidRDefault="009D37F8" w:rsidP="00237322">
            <w:pPr>
              <w:jc w:val="both"/>
              <w:rPr>
                <w:rFonts w:ascii="Arial" w:hAnsi="Arial" w:cs="Arial"/>
                <w:sz w:val="20"/>
                <w:szCs w:val="20"/>
              </w:rPr>
            </w:pPr>
            <w:r w:rsidRPr="008E3BF7">
              <w:rPr>
                <w:rFonts w:ascii="Arial" w:hAnsi="Arial" w:cs="Arial"/>
                <w:sz w:val="20"/>
                <w:szCs w:val="20"/>
              </w:rPr>
              <w:t>55.3</w:t>
            </w:r>
          </w:p>
        </w:tc>
        <w:tc>
          <w:tcPr>
            <w:tcW w:w="1954" w:type="dxa"/>
          </w:tcPr>
          <w:p w14:paraId="6D66827C" w14:textId="486A8086" w:rsidR="009D37F8" w:rsidRPr="008E3BF7" w:rsidRDefault="009D37F8" w:rsidP="00237322">
            <w:pPr>
              <w:jc w:val="both"/>
              <w:rPr>
                <w:rFonts w:ascii="Arial" w:hAnsi="Arial" w:cs="Arial"/>
                <w:sz w:val="20"/>
                <w:szCs w:val="20"/>
              </w:rPr>
            </w:pPr>
            <w:r w:rsidRPr="008E3BF7">
              <w:rPr>
                <w:rFonts w:ascii="Arial" w:hAnsi="Arial" w:cs="Arial"/>
                <w:sz w:val="20"/>
                <w:szCs w:val="20"/>
              </w:rPr>
              <w:t>64.9</w:t>
            </w:r>
          </w:p>
        </w:tc>
      </w:tr>
    </w:tbl>
    <w:p w14:paraId="109D7DB1" w14:textId="77777777" w:rsidR="00B844A9" w:rsidRPr="008E3BF7" w:rsidRDefault="00B844A9" w:rsidP="00237322">
      <w:pPr>
        <w:spacing w:after="0" w:line="240" w:lineRule="auto"/>
        <w:jc w:val="both"/>
        <w:rPr>
          <w:rFonts w:ascii="Arial" w:hAnsi="Arial" w:cs="Arial"/>
          <w:sz w:val="20"/>
          <w:szCs w:val="20"/>
        </w:rPr>
      </w:pPr>
    </w:p>
    <w:p w14:paraId="4A378EA0" w14:textId="506777AD" w:rsidR="00460F1B" w:rsidRPr="008E3BF7" w:rsidRDefault="00460F1B" w:rsidP="00237322">
      <w:pPr>
        <w:spacing w:after="0" w:line="240" w:lineRule="auto"/>
        <w:jc w:val="both"/>
        <w:rPr>
          <w:rFonts w:ascii="Arial" w:hAnsi="Arial" w:cs="Arial"/>
          <w:sz w:val="18"/>
          <w:szCs w:val="18"/>
        </w:rPr>
      </w:pPr>
    </w:p>
    <w:p w14:paraId="181972B0" w14:textId="008A136A" w:rsidR="00B43646" w:rsidRPr="008E3BF7" w:rsidRDefault="00B43646" w:rsidP="00237322">
      <w:pPr>
        <w:spacing w:after="0" w:line="240" w:lineRule="auto"/>
        <w:jc w:val="both"/>
        <w:rPr>
          <w:rFonts w:ascii="Arial" w:hAnsi="Arial" w:cs="Arial"/>
          <w:b/>
          <w:bCs/>
        </w:rPr>
      </w:pPr>
      <w:r w:rsidRPr="008E3BF7">
        <w:rPr>
          <w:rFonts w:ascii="Arial" w:hAnsi="Arial" w:cs="Arial"/>
          <w:b/>
          <w:bCs/>
        </w:rPr>
        <w:t>Conclusion</w:t>
      </w:r>
    </w:p>
    <w:p w14:paraId="1716F914" w14:textId="114408BA" w:rsidR="006C4C87" w:rsidRPr="008E3BF7" w:rsidRDefault="00F30290"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In this study we </w:t>
      </w:r>
      <w:r w:rsidR="0072166D" w:rsidRPr="008E3BF7">
        <w:rPr>
          <w:rFonts w:ascii="Arial" w:hAnsi="Arial" w:cs="Arial"/>
          <w:sz w:val="20"/>
          <w:szCs w:val="20"/>
        </w:rPr>
        <w:t>proposed</w:t>
      </w:r>
      <w:r w:rsidRPr="008E3BF7">
        <w:rPr>
          <w:rFonts w:ascii="Arial" w:hAnsi="Arial" w:cs="Arial"/>
          <w:sz w:val="20"/>
          <w:szCs w:val="20"/>
        </w:rPr>
        <w:t xml:space="preserve"> a framework based on time series forecasting for obtaining baseline forecasts of tourism demand that serve as counterfactual outcomes. It turned out that the Prophet forecasting procedure is a </w:t>
      </w:r>
      <w:r w:rsidR="000E2619" w:rsidRPr="008E3BF7">
        <w:rPr>
          <w:rFonts w:ascii="Arial" w:hAnsi="Arial" w:cs="Arial"/>
          <w:sz w:val="20"/>
          <w:szCs w:val="20"/>
        </w:rPr>
        <w:t xml:space="preserve">very </w:t>
      </w:r>
      <w:r w:rsidRPr="008E3BF7">
        <w:rPr>
          <w:rFonts w:ascii="Arial" w:hAnsi="Arial" w:cs="Arial"/>
          <w:sz w:val="20"/>
          <w:szCs w:val="20"/>
        </w:rPr>
        <w:t>competitive algorithm</w:t>
      </w:r>
      <w:r w:rsidR="000E2619" w:rsidRPr="008E3BF7">
        <w:rPr>
          <w:rFonts w:ascii="Arial" w:hAnsi="Arial" w:cs="Arial"/>
          <w:sz w:val="20"/>
          <w:szCs w:val="20"/>
        </w:rPr>
        <w:t xml:space="preserve"> that has not been widely used in the hospitality industry but</w:t>
      </w:r>
      <w:r w:rsidRPr="008E3BF7">
        <w:rPr>
          <w:rFonts w:ascii="Arial" w:hAnsi="Arial" w:cs="Arial"/>
          <w:sz w:val="20"/>
          <w:szCs w:val="20"/>
        </w:rPr>
        <w:t xml:space="preserve"> allows avoiding some of the ETS </w:t>
      </w:r>
      <w:r w:rsidRPr="008E3BF7">
        <w:rPr>
          <w:rFonts w:ascii="Arial" w:hAnsi="Arial" w:cs="Arial"/>
          <w:sz w:val="20"/>
          <w:szCs w:val="20"/>
        </w:rPr>
        <w:lastRenderedPageBreak/>
        <w:t>framework's fallacies. By comparing actual tourism demand observed in March</w:t>
      </w:r>
      <w:r w:rsidR="000E2619" w:rsidRPr="008E3BF7">
        <w:rPr>
          <w:rFonts w:ascii="Arial" w:hAnsi="Arial" w:cs="Arial"/>
          <w:sz w:val="20"/>
          <w:szCs w:val="20"/>
        </w:rPr>
        <w:t xml:space="preserve">, </w:t>
      </w:r>
      <w:r w:rsidR="003F2A2D" w:rsidRPr="008E3BF7">
        <w:rPr>
          <w:rFonts w:ascii="Arial" w:hAnsi="Arial" w:cs="Arial"/>
          <w:sz w:val="20"/>
          <w:szCs w:val="20"/>
        </w:rPr>
        <w:t>April,</w:t>
      </w:r>
      <w:r w:rsidR="000E2619" w:rsidRPr="008E3BF7">
        <w:rPr>
          <w:rFonts w:ascii="Arial" w:hAnsi="Arial" w:cs="Arial"/>
          <w:sz w:val="20"/>
          <w:szCs w:val="20"/>
        </w:rPr>
        <w:t xml:space="preserve"> and May</w:t>
      </w:r>
      <w:r w:rsidRPr="008E3BF7">
        <w:rPr>
          <w:rFonts w:ascii="Arial" w:hAnsi="Arial" w:cs="Arial"/>
          <w:sz w:val="20"/>
          <w:szCs w:val="20"/>
        </w:rPr>
        <w:t xml:space="preserve"> 2020 we obtain first statistically sound estimates of hospitality industry losses for each </w:t>
      </w:r>
      <w:r w:rsidR="000E2619" w:rsidRPr="008E3BF7">
        <w:rPr>
          <w:rFonts w:ascii="Arial" w:hAnsi="Arial" w:cs="Arial"/>
          <w:sz w:val="20"/>
          <w:szCs w:val="20"/>
        </w:rPr>
        <w:t>tourist accommodation market segment</w:t>
      </w:r>
      <w:r w:rsidRPr="008E3BF7">
        <w:rPr>
          <w:rFonts w:ascii="Arial" w:hAnsi="Arial" w:cs="Arial"/>
          <w:sz w:val="20"/>
          <w:szCs w:val="20"/>
        </w:rPr>
        <w:t xml:space="preserve"> of 18 </w:t>
      </w:r>
      <w:r w:rsidR="000E2619" w:rsidRPr="008E3BF7">
        <w:rPr>
          <w:rFonts w:ascii="Arial" w:hAnsi="Arial" w:cs="Arial"/>
          <w:sz w:val="20"/>
          <w:szCs w:val="20"/>
        </w:rPr>
        <w:t xml:space="preserve">European </w:t>
      </w:r>
      <w:r w:rsidRPr="008E3BF7">
        <w:rPr>
          <w:rFonts w:ascii="Arial" w:hAnsi="Arial" w:cs="Arial"/>
          <w:sz w:val="20"/>
          <w:szCs w:val="20"/>
        </w:rPr>
        <w:t xml:space="preserve">countries. </w:t>
      </w:r>
      <w:r w:rsidR="006C4C87" w:rsidRPr="008E3BF7">
        <w:rPr>
          <w:rFonts w:ascii="Arial" w:hAnsi="Arial" w:cs="Arial"/>
          <w:sz w:val="20"/>
          <w:szCs w:val="20"/>
        </w:rPr>
        <w:t xml:space="preserve">The framework makes it possible to estimate losses experienced by a particular segment of the hospitality market of a particular country in any given month as soon as tourism statistics becomes available from European statistical agencies. </w:t>
      </w:r>
      <w:r w:rsidR="006F161D" w:rsidRPr="008E3BF7">
        <w:rPr>
          <w:rFonts w:ascii="Arial" w:hAnsi="Arial" w:cs="Arial"/>
          <w:sz w:val="20"/>
          <w:szCs w:val="20"/>
        </w:rPr>
        <w:t>The comparison of observed demand dynamics with counterfactual (baseline) estimates will remain important for revealing signs of recovery/deterioration and figuring out how far the demand levels are from those that would be expected in the absence of COVID</w:t>
      </w:r>
      <w:r w:rsidR="007A1953" w:rsidRPr="008E3BF7">
        <w:rPr>
          <w:rFonts w:ascii="Arial" w:hAnsi="Arial" w:cs="Arial"/>
          <w:sz w:val="20"/>
          <w:szCs w:val="20"/>
        </w:rPr>
        <w:t>-19</w:t>
      </w:r>
      <w:r w:rsidR="006F161D" w:rsidRPr="008E3BF7">
        <w:rPr>
          <w:rFonts w:ascii="Arial" w:hAnsi="Arial" w:cs="Arial"/>
          <w:sz w:val="20"/>
          <w:szCs w:val="20"/>
        </w:rPr>
        <w:t>.</w:t>
      </w:r>
    </w:p>
    <w:p w14:paraId="1102B26B" w14:textId="2041CB0A" w:rsidR="002142D4" w:rsidRPr="008E3BF7" w:rsidRDefault="00F30290"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Our meta-analysis of the heterogeneity in loss estimates has shown that countries that were systematically identified as having been exposed to the smallest damage of the hospitality industry are Finland, </w:t>
      </w:r>
      <w:proofErr w:type="gramStart"/>
      <w:r w:rsidRPr="008E3BF7">
        <w:rPr>
          <w:rFonts w:ascii="Arial" w:hAnsi="Arial" w:cs="Arial"/>
          <w:sz w:val="20"/>
          <w:szCs w:val="20"/>
        </w:rPr>
        <w:t>Latvia</w:t>
      </w:r>
      <w:proofErr w:type="gramEnd"/>
      <w:r w:rsidRPr="008E3BF7">
        <w:rPr>
          <w:rFonts w:ascii="Arial" w:hAnsi="Arial" w:cs="Arial"/>
          <w:sz w:val="20"/>
          <w:szCs w:val="20"/>
        </w:rPr>
        <w:t xml:space="preserve"> and Sweden. Belgium, Italy, and Slovenia were systematically identified among those with the most severe damage for the industry.</w:t>
      </w:r>
      <w:r w:rsidR="002142D4" w:rsidRPr="008E3BF7">
        <w:rPr>
          <w:rFonts w:ascii="Arial" w:hAnsi="Arial" w:cs="Arial"/>
          <w:sz w:val="20"/>
          <w:szCs w:val="20"/>
        </w:rPr>
        <w:t xml:space="preserve"> Differences across sectors (“</w:t>
      </w:r>
      <w:r w:rsidR="002142D4" w:rsidRPr="008E3BF7">
        <w:rPr>
          <w:rFonts w:ascii="Arial" w:hAnsi="Arial" w:cs="Arial"/>
          <w:color w:val="000000"/>
          <w:sz w:val="20"/>
          <w:szCs w:val="20"/>
          <w:shd w:val="clear" w:color="auto" w:fill="FFFFFF"/>
        </w:rPr>
        <w:t>hotels and similar accommodation”</w:t>
      </w:r>
      <w:r w:rsidR="002142D4" w:rsidRPr="008E3BF7">
        <w:rPr>
          <w:rFonts w:ascii="Arial" w:hAnsi="Arial" w:cs="Arial"/>
          <w:sz w:val="20"/>
          <w:szCs w:val="20"/>
        </w:rPr>
        <w:t>, “</w:t>
      </w:r>
      <w:r w:rsidR="002142D4" w:rsidRPr="008E3BF7">
        <w:rPr>
          <w:rFonts w:ascii="Arial" w:hAnsi="Arial" w:cs="Arial"/>
          <w:color w:val="000000"/>
          <w:sz w:val="20"/>
          <w:szCs w:val="20"/>
          <w:shd w:val="clear" w:color="auto" w:fill="FFFFFF"/>
        </w:rPr>
        <w:t>holiday and other short-stay accommodation”, and “camping grounds, recreational vehicle parks and trailer parks”</w:t>
      </w:r>
      <w:r w:rsidR="002142D4" w:rsidRPr="008E3BF7">
        <w:rPr>
          <w:rFonts w:ascii="Arial" w:hAnsi="Arial" w:cs="Arial"/>
          <w:sz w:val="20"/>
          <w:szCs w:val="20"/>
        </w:rPr>
        <w:t xml:space="preserve">) were not </w:t>
      </w:r>
      <w:r w:rsidR="006C4C87" w:rsidRPr="008E3BF7">
        <w:rPr>
          <w:rFonts w:ascii="Arial" w:hAnsi="Arial" w:cs="Arial"/>
          <w:sz w:val="20"/>
          <w:szCs w:val="20"/>
        </w:rPr>
        <w:t>as substantial as differences across months and countries, but still worth accounting for – the hotels sector suffered significantly more than the two other sectors.</w:t>
      </w:r>
    </w:p>
    <w:p w14:paraId="389E1C95" w14:textId="49D82FF0" w:rsidR="003F2A2D" w:rsidRPr="008E3BF7" w:rsidRDefault="002142D4" w:rsidP="00237322">
      <w:pPr>
        <w:spacing w:after="0" w:line="240" w:lineRule="auto"/>
        <w:ind w:firstLine="720"/>
        <w:jc w:val="both"/>
        <w:rPr>
          <w:rFonts w:ascii="Arial" w:hAnsi="Arial" w:cs="Arial"/>
          <w:sz w:val="20"/>
          <w:szCs w:val="20"/>
        </w:rPr>
      </w:pPr>
      <w:r w:rsidRPr="008E3BF7">
        <w:rPr>
          <w:rFonts w:ascii="Arial" w:hAnsi="Arial" w:cs="Arial"/>
          <w:sz w:val="20"/>
          <w:szCs w:val="20"/>
        </w:rPr>
        <w:t>Some methodological improvements are worth considering in fu</w:t>
      </w:r>
      <w:r w:rsidR="006C4C87" w:rsidRPr="008E3BF7">
        <w:rPr>
          <w:rFonts w:ascii="Arial" w:hAnsi="Arial" w:cs="Arial"/>
          <w:sz w:val="20"/>
          <w:szCs w:val="20"/>
        </w:rPr>
        <w:t>ture</w:t>
      </w:r>
      <w:r w:rsidRPr="008E3BF7">
        <w:rPr>
          <w:rFonts w:ascii="Arial" w:hAnsi="Arial" w:cs="Arial"/>
          <w:sz w:val="20"/>
          <w:szCs w:val="20"/>
        </w:rPr>
        <w:t xml:space="preserve"> research. </w:t>
      </w:r>
      <w:r w:rsidR="003F2A2D" w:rsidRPr="008E3BF7">
        <w:rPr>
          <w:rFonts w:ascii="Arial" w:hAnsi="Arial" w:cs="Arial"/>
          <w:sz w:val="20"/>
          <w:szCs w:val="20"/>
        </w:rPr>
        <w:t xml:space="preserve">In our study we selected a single method that would fit all time series reasonably well, and, taking into account that we had  a substantial number of time series for model testing (108), it was sufficient to have a single testing sample per series as eventually we chose the method that performed well across </w:t>
      </w:r>
      <w:r w:rsidR="007A1953" w:rsidRPr="008E3BF7">
        <w:rPr>
          <w:rFonts w:ascii="Arial" w:hAnsi="Arial" w:cs="Arial"/>
          <w:sz w:val="20"/>
          <w:szCs w:val="20"/>
        </w:rPr>
        <w:t>a large number of series from the same domain</w:t>
      </w:r>
      <w:r w:rsidR="003F2A2D" w:rsidRPr="008E3BF7">
        <w:rPr>
          <w:rFonts w:ascii="Arial" w:hAnsi="Arial" w:cs="Arial"/>
          <w:sz w:val="20"/>
          <w:szCs w:val="20"/>
        </w:rPr>
        <w:t xml:space="preserve">.  We also used a single testing sample to evaluate forecasting accuracy due to the relative shortness of our time series and due to prohibitively high computational intensity of so-called nested cross-validation, which can generally be recommended </w:t>
      </w:r>
      <w:r w:rsidR="003F2A2D" w:rsidRPr="008E3BF7">
        <w:rPr>
          <w:rFonts w:ascii="Arial" w:hAnsi="Arial" w:cs="Arial"/>
          <w:sz w:val="20"/>
          <w:szCs w:val="20"/>
        </w:rPr>
        <w:fldChar w:fldCharType="begin" w:fldLock="1"/>
      </w:r>
      <w:r w:rsidR="008E3BF7" w:rsidRPr="008E3BF7">
        <w:rPr>
          <w:rFonts w:ascii="Arial" w:hAnsi="Arial" w:cs="Arial"/>
          <w:sz w:val="20"/>
          <w:szCs w:val="20"/>
        </w:rPr>
        <w:instrText>ADDIN CSL_CITATION {"citationItems":[{"id":"ITEM-1","itemData":{"author":[{"dropping-particle":"","family":"Bergmeir","given":"Christoph","non-dropping-particle":"","parse-names":false,"suffix":""},{"dropping-particle":"","family":"Hyndman","given":"Rob J","non-dropping-particle":"","parse-names":false,"suffix":""},{"dropping-particle":"","family":"Koo","given":"Bonsoo","non-dropping-particle":"","parse-names":false,"suffix":""}],"container-title":"Computational Statistics &amp; Data Analysis","id":"ITEM-1","issued":{"date-parts":[["2018"]]},"page":"70-83","publisher":"Elsevier","title":"A note on the validity of cross-validation for evaluating autoregressive time series prediction","type":"article-journal","volume":"120"},"uris":["http://www.mendeley.com/documents/?uuid=4bf86fe9-f551-4af7-ad1f-b6dde257ec62"]}],"mendeley":{"formattedCitation":"(Bergmeir, Hyndman and Koo, 2018)","plainTextFormattedCitation":"(Bergmeir, Hyndman and Koo, 2018)","previouslyFormattedCitation":"(Bergmeir et al., 2018)"},"properties":{"noteIndex":0},"schema":"https://github.com/citation-style-language/schema/raw/master/csl-citation.json"}</w:instrText>
      </w:r>
      <w:r w:rsidR="003F2A2D" w:rsidRPr="008E3BF7">
        <w:rPr>
          <w:rFonts w:ascii="Arial" w:hAnsi="Arial" w:cs="Arial"/>
          <w:sz w:val="20"/>
          <w:szCs w:val="20"/>
        </w:rPr>
        <w:fldChar w:fldCharType="separate"/>
      </w:r>
      <w:r w:rsidR="008E3BF7" w:rsidRPr="008E3BF7">
        <w:rPr>
          <w:rFonts w:ascii="Arial" w:hAnsi="Arial" w:cs="Arial"/>
          <w:noProof/>
          <w:sz w:val="20"/>
          <w:szCs w:val="20"/>
        </w:rPr>
        <w:t>(Bergmeir, Hyndman and Koo, 2018)</w:t>
      </w:r>
      <w:r w:rsidR="003F2A2D" w:rsidRPr="008E3BF7">
        <w:rPr>
          <w:rFonts w:ascii="Arial" w:hAnsi="Arial" w:cs="Arial"/>
          <w:sz w:val="20"/>
          <w:szCs w:val="20"/>
        </w:rPr>
        <w:fldChar w:fldCharType="end"/>
      </w:r>
      <w:r w:rsidR="003F2A2D" w:rsidRPr="008E3BF7">
        <w:rPr>
          <w:rFonts w:ascii="Arial" w:hAnsi="Arial" w:cs="Arial"/>
          <w:sz w:val="20"/>
          <w:szCs w:val="20"/>
        </w:rPr>
        <w:t>.</w:t>
      </w:r>
      <w:proofErr w:type="spellStart"/>
      <w:r w:rsidR="007A1953" w:rsidRPr="008E3BF7">
        <w:rPr>
          <w:rFonts w:ascii="Arial" w:hAnsi="Arial" w:cs="Arial"/>
          <w:sz w:val="20"/>
          <w:szCs w:val="20"/>
        </w:rPr>
        <w:t>b</w:t>
      </w:r>
      <w:r w:rsidR="003F2A2D" w:rsidRPr="008E3BF7">
        <w:rPr>
          <w:rFonts w:ascii="Arial" w:hAnsi="Arial" w:cs="Arial"/>
          <w:sz w:val="20"/>
          <w:szCs w:val="20"/>
        </w:rPr>
        <w:t>The</w:t>
      </w:r>
      <w:proofErr w:type="spellEnd"/>
      <w:r w:rsidR="003F2A2D" w:rsidRPr="008E3BF7">
        <w:rPr>
          <w:rFonts w:ascii="Arial" w:hAnsi="Arial" w:cs="Arial"/>
          <w:sz w:val="20"/>
          <w:szCs w:val="20"/>
        </w:rPr>
        <w:t xml:space="preserve"> method requires creating multiple training  samples such as January 2012 - December 2017, January 2012 - January 2018, January 2012 - February 2018, etc. and testing forecasting performance by generating forecasts </w:t>
      </w:r>
      <w:r w:rsidR="003F2A2D" w:rsidRPr="008E3BF7">
        <w:rPr>
          <w:rFonts w:ascii="Arial" w:hAnsi="Arial" w:cs="Arial"/>
          <w:i/>
          <w:iCs/>
          <w:sz w:val="20"/>
          <w:szCs w:val="20"/>
        </w:rPr>
        <w:t>n</w:t>
      </w:r>
      <w:r w:rsidR="003F2A2D" w:rsidRPr="008E3BF7">
        <w:rPr>
          <w:rFonts w:ascii="Arial" w:hAnsi="Arial" w:cs="Arial"/>
          <w:sz w:val="20"/>
          <w:szCs w:val="20"/>
        </w:rPr>
        <w:t xml:space="preserve"> steps ahead (in our case, </w:t>
      </w:r>
      <w:r w:rsidR="003F2A2D" w:rsidRPr="008E3BF7">
        <w:rPr>
          <w:rFonts w:ascii="Arial" w:hAnsi="Arial" w:cs="Arial"/>
          <w:i/>
          <w:iCs/>
          <w:sz w:val="20"/>
          <w:szCs w:val="20"/>
        </w:rPr>
        <w:t>n</w:t>
      </w:r>
      <w:r w:rsidR="003F2A2D" w:rsidRPr="008E3BF7">
        <w:rPr>
          <w:rFonts w:ascii="Arial" w:hAnsi="Arial" w:cs="Arial"/>
          <w:sz w:val="20"/>
          <w:szCs w:val="20"/>
        </w:rPr>
        <w:t xml:space="preserve">=12). As a result, nested cross-validation gives multiple estimates of the testing period's error, which should lead to more robust estimates of the testing sample performance of each method. This method is especially useful when working with a single time-series because it gives more data points to assess a method's performance. </w:t>
      </w:r>
    </w:p>
    <w:p w14:paraId="6571355D" w14:textId="0AF6C988" w:rsidR="00F30290" w:rsidRPr="008E3BF7" w:rsidRDefault="00F30290"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The benchmarking of time series forecasting models can be further complemented by the analysis of statistical properties associated with good/bad performance of each model. Such meta-analysis can contribute to understanding the correspondence between data features and the best method. Such modeling can potentially lead to a data-driven framework for selecting the most appropriate class of models based on time series characteristics, at least for a particular type of time series such as those related to the demand for various </w:t>
      </w:r>
      <w:r w:rsidR="002854E3" w:rsidRPr="008E3BF7">
        <w:rPr>
          <w:rFonts w:ascii="Arial" w:hAnsi="Arial" w:cs="Arial"/>
          <w:sz w:val="20"/>
          <w:szCs w:val="20"/>
        </w:rPr>
        <w:t>accommodation</w:t>
      </w:r>
      <w:r w:rsidRPr="008E3BF7">
        <w:rPr>
          <w:rFonts w:ascii="Arial" w:hAnsi="Arial" w:cs="Arial"/>
          <w:sz w:val="20"/>
          <w:szCs w:val="20"/>
        </w:rPr>
        <w:t xml:space="preserve"> establishments.</w:t>
      </w:r>
    </w:p>
    <w:p w14:paraId="3B36EBD3" w14:textId="599C3EA3" w:rsidR="00B43646" w:rsidRPr="008E3BF7" w:rsidRDefault="00B43646" w:rsidP="00237322">
      <w:pPr>
        <w:spacing w:after="0" w:line="240" w:lineRule="auto"/>
        <w:ind w:firstLine="720"/>
        <w:jc w:val="both"/>
        <w:rPr>
          <w:rFonts w:ascii="Arial" w:hAnsi="Arial" w:cs="Arial"/>
          <w:sz w:val="20"/>
          <w:szCs w:val="20"/>
        </w:rPr>
      </w:pPr>
      <w:r w:rsidRPr="008E3BF7">
        <w:rPr>
          <w:rFonts w:ascii="Arial" w:hAnsi="Arial" w:cs="Arial"/>
          <w:sz w:val="20"/>
          <w:szCs w:val="20"/>
        </w:rPr>
        <w:t xml:space="preserve">In addition to providing insights into the effect of COVID-19 on one of the hospitality industry’s key metric, </w:t>
      </w:r>
      <w:r w:rsidR="007A1953" w:rsidRPr="008E3BF7">
        <w:rPr>
          <w:rFonts w:ascii="Arial" w:hAnsi="Arial" w:cs="Arial"/>
          <w:sz w:val="20"/>
          <w:szCs w:val="20"/>
        </w:rPr>
        <w:t>our paper is supplemented with an</w:t>
      </w:r>
      <w:r w:rsidRPr="008E3BF7">
        <w:rPr>
          <w:rFonts w:ascii="Arial" w:hAnsi="Arial" w:cs="Arial"/>
          <w:sz w:val="20"/>
          <w:szCs w:val="20"/>
        </w:rPr>
        <w:t xml:space="preserve"> R language-based implementation for automated forecasting of many time series using multiple methods and for model </w:t>
      </w:r>
      <w:r w:rsidRPr="008E3BF7">
        <w:rPr>
          <w:rFonts w:ascii="Arial" w:hAnsi="Arial" w:cs="Arial"/>
          <w:sz w:val="20"/>
          <w:szCs w:val="20"/>
        </w:rPr>
        <w:lastRenderedPageBreak/>
        <w:t>comparison. This part of our work can serve as a practitioner’s guide for people working with many time series, ranging from revenue managers of hotel chains working with demand planning for multiple properties to retail sales analysts making forecasts for thousands of SKU-level forecasts on a daily basis.</w:t>
      </w:r>
    </w:p>
    <w:p w14:paraId="4C1776D7" w14:textId="77777777" w:rsidR="00B43646" w:rsidRPr="008E3BF7" w:rsidRDefault="00B43646" w:rsidP="00237322">
      <w:pPr>
        <w:spacing w:after="0" w:line="240" w:lineRule="auto"/>
        <w:jc w:val="both"/>
        <w:rPr>
          <w:rFonts w:ascii="Arial" w:hAnsi="Arial" w:cs="Arial"/>
          <w:sz w:val="18"/>
          <w:szCs w:val="18"/>
        </w:rPr>
      </w:pPr>
    </w:p>
    <w:p w14:paraId="0BD7340F" w14:textId="77777777" w:rsidR="00B43646" w:rsidRPr="008E3BF7" w:rsidRDefault="00B43646" w:rsidP="00237322">
      <w:pPr>
        <w:spacing w:after="0" w:line="240" w:lineRule="auto"/>
        <w:jc w:val="both"/>
        <w:rPr>
          <w:rFonts w:ascii="Arial" w:hAnsi="Arial" w:cs="Arial"/>
          <w:sz w:val="18"/>
          <w:szCs w:val="18"/>
        </w:rPr>
      </w:pPr>
    </w:p>
    <w:p w14:paraId="15E81AF0" w14:textId="2351953E" w:rsidR="001051D0" w:rsidRPr="008E3BF7" w:rsidRDefault="001051D0" w:rsidP="00237322">
      <w:pPr>
        <w:spacing w:after="0" w:line="240" w:lineRule="auto"/>
        <w:jc w:val="both"/>
        <w:rPr>
          <w:rFonts w:ascii="Arial" w:hAnsi="Arial" w:cs="Arial"/>
          <w:b/>
          <w:bCs/>
          <w:sz w:val="20"/>
          <w:szCs w:val="20"/>
        </w:rPr>
      </w:pPr>
      <w:r w:rsidRPr="008E3BF7">
        <w:rPr>
          <w:rFonts w:ascii="Arial" w:hAnsi="Arial" w:cs="Arial"/>
          <w:b/>
          <w:bCs/>
          <w:sz w:val="20"/>
          <w:szCs w:val="20"/>
        </w:rPr>
        <w:t>References</w:t>
      </w:r>
    </w:p>
    <w:p w14:paraId="52F36F0A" w14:textId="68F76185" w:rsidR="008E3BF7" w:rsidRPr="008E3BF7" w:rsidRDefault="001C250C"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sz w:val="20"/>
          <w:szCs w:val="20"/>
        </w:rPr>
        <w:fldChar w:fldCharType="begin" w:fldLock="1"/>
      </w:r>
      <w:r w:rsidRPr="008E3BF7">
        <w:rPr>
          <w:rFonts w:ascii="Arial" w:hAnsi="Arial" w:cs="Arial"/>
          <w:sz w:val="20"/>
          <w:szCs w:val="20"/>
        </w:rPr>
        <w:instrText xml:space="preserve">ADDIN Mendeley Bibliography CSL_BIBLIOGRAPHY </w:instrText>
      </w:r>
      <w:r w:rsidRPr="008E3BF7">
        <w:rPr>
          <w:rFonts w:ascii="Arial" w:hAnsi="Arial" w:cs="Arial"/>
          <w:sz w:val="20"/>
          <w:szCs w:val="20"/>
        </w:rPr>
        <w:fldChar w:fldCharType="separate"/>
      </w:r>
      <w:r w:rsidR="008E3BF7" w:rsidRPr="008E3BF7">
        <w:rPr>
          <w:rFonts w:ascii="Arial" w:hAnsi="Arial" w:cs="Arial"/>
          <w:noProof/>
          <w:sz w:val="20"/>
          <w:szCs w:val="20"/>
        </w:rPr>
        <w:t xml:space="preserve">Arana, J. E. and León, C. J. (2008) ‘The impact of terrorism on tourism demand’, </w:t>
      </w:r>
      <w:r w:rsidR="008E3BF7" w:rsidRPr="008E3BF7">
        <w:rPr>
          <w:rFonts w:ascii="Arial" w:hAnsi="Arial" w:cs="Arial"/>
          <w:i/>
          <w:iCs/>
          <w:noProof/>
          <w:sz w:val="20"/>
          <w:szCs w:val="20"/>
        </w:rPr>
        <w:t>Annals of tourism research</w:t>
      </w:r>
      <w:r w:rsidR="008E3BF7" w:rsidRPr="008E3BF7">
        <w:rPr>
          <w:rFonts w:ascii="Arial" w:hAnsi="Arial" w:cs="Arial"/>
          <w:noProof/>
          <w:sz w:val="20"/>
          <w:szCs w:val="20"/>
        </w:rPr>
        <w:t>, 35(2), pp. 299–315.</w:t>
      </w:r>
    </w:p>
    <w:p w14:paraId="5FF7C439"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Athanasopoulos, G. and Hyndman, R. J. (2008) ‘Modelling and forecasting Australian domestic tourism’, </w:t>
      </w:r>
      <w:r w:rsidRPr="008E3BF7">
        <w:rPr>
          <w:rFonts w:ascii="Arial" w:hAnsi="Arial" w:cs="Arial"/>
          <w:i/>
          <w:iCs/>
          <w:noProof/>
          <w:sz w:val="20"/>
          <w:szCs w:val="20"/>
        </w:rPr>
        <w:t>Tourism Management</w:t>
      </w:r>
      <w:r w:rsidRPr="008E3BF7">
        <w:rPr>
          <w:rFonts w:ascii="Arial" w:hAnsi="Arial" w:cs="Arial"/>
          <w:noProof/>
          <w:sz w:val="20"/>
          <w:szCs w:val="20"/>
        </w:rPr>
        <w:t>, 29(1), pp. 19–31.</w:t>
      </w:r>
    </w:p>
    <w:p w14:paraId="3F2FA6A2"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Azen, R. and Budescu, D. V (2003) ‘The dominance analysis approach for comparing predictors in multiple regression.’, </w:t>
      </w:r>
      <w:r w:rsidRPr="008E3BF7">
        <w:rPr>
          <w:rFonts w:ascii="Arial" w:hAnsi="Arial" w:cs="Arial"/>
          <w:i/>
          <w:iCs/>
          <w:noProof/>
          <w:sz w:val="20"/>
          <w:szCs w:val="20"/>
        </w:rPr>
        <w:t>Psychological methods</w:t>
      </w:r>
      <w:r w:rsidRPr="008E3BF7">
        <w:rPr>
          <w:rFonts w:ascii="Arial" w:hAnsi="Arial" w:cs="Arial"/>
          <w:noProof/>
          <w:sz w:val="20"/>
          <w:szCs w:val="20"/>
        </w:rPr>
        <w:t>, 8(2), p. 129.</w:t>
      </w:r>
    </w:p>
    <w:p w14:paraId="22186C38"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Azen, R. and Traxel, N. (2009) ‘Using dominance analysis to determine predictor importance in logistic regression’, </w:t>
      </w:r>
      <w:r w:rsidRPr="008E3BF7">
        <w:rPr>
          <w:rFonts w:ascii="Arial" w:hAnsi="Arial" w:cs="Arial"/>
          <w:i/>
          <w:iCs/>
          <w:noProof/>
          <w:sz w:val="20"/>
          <w:szCs w:val="20"/>
        </w:rPr>
        <w:t>Journal of Educational and Behavioral Statistics</w:t>
      </w:r>
      <w:r w:rsidRPr="008E3BF7">
        <w:rPr>
          <w:rFonts w:ascii="Arial" w:hAnsi="Arial" w:cs="Arial"/>
          <w:noProof/>
          <w:sz w:val="20"/>
          <w:szCs w:val="20"/>
        </w:rPr>
        <w:t>, 34(3), pp. 319–347.</w:t>
      </w:r>
    </w:p>
    <w:p w14:paraId="1DFC723E"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Baum, T. and Hai, N. T. T. (2020) ‘Hospitality, tourism, human rights and the impact of COVID-19’, </w:t>
      </w:r>
      <w:r w:rsidRPr="008E3BF7">
        <w:rPr>
          <w:rFonts w:ascii="Arial" w:hAnsi="Arial" w:cs="Arial"/>
          <w:i/>
          <w:iCs/>
          <w:noProof/>
          <w:sz w:val="20"/>
          <w:szCs w:val="20"/>
        </w:rPr>
        <w:t>International Journal of Contemporary Hospitality Management</w:t>
      </w:r>
      <w:r w:rsidRPr="008E3BF7">
        <w:rPr>
          <w:rFonts w:ascii="Arial" w:hAnsi="Arial" w:cs="Arial"/>
          <w:noProof/>
          <w:sz w:val="20"/>
          <w:szCs w:val="20"/>
        </w:rPr>
        <w:t>.</w:t>
      </w:r>
    </w:p>
    <w:p w14:paraId="78B77C74"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Bergmeir, C., Hyndman, R. J. and Koo, B. (2018) ‘A note on the validity of cross-validation for evaluating autoregressive time series prediction’, </w:t>
      </w:r>
      <w:r w:rsidRPr="008E3BF7">
        <w:rPr>
          <w:rFonts w:ascii="Arial" w:hAnsi="Arial" w:cs="Arial"/>
          <w:i/>
          <w:iCs/>
          <w:noProof/>
          <w:sz w:val="20"/>
          <w:szCs w:val="20"/>
        </w:rPr>
        <w:t>Computational Statistics &amp; Data Analysis</w:t>
      </w:r>
      <w:r w:rsidRPr="008E3BF7">
        <w:rPr>
          <w:rFonts w:ascii="Arial" w:hAnsi="Arial" w:cs="Arial"/>
          <w:noProof/>
          <w:sz w:val="20"/>
          <w:szCs w:val="20"/>
        </w:rPr>
        <w:t>, 120, pp. 70–83.</w:t>
      </w:r>
    </w:p>
    <w:p w14:paraId="322E565E"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Chang, Y.-W. and Liao, M.-Y. (2010) ‘A seasonal ARIMA model of tourism forecasting: The case of Taiwan’, </w:t>
      </w:r>
      <w:r w:rsidRPr="008E3BF7">
        <w:rPr>
          <w:rFonts w:ascii="Arial" w:hAnsi="Arial" w:cs="Arial"/>
          <w:i/>
          <w:iCs/>
          <w:noProof/>
          <w:sz w:val="20"/>
          <w:szCs w:val="20"/>
        </w:rPr>
        <w:t>Asia Pacific journal of Tourism research</w:t>
      </w:r>
      <w:r w:rsidRPr="008E3BF7">
        <w:rPr>
          <w:rFonts w:ascii="Arial" w:hAnsi="Arial" w:cs="Arial"/>
          <w:noProof/>
          <w:sz w:val="20"/>
          <w:szCs w:val="20"/>
        </w:rPr>
        <w:t>, 15(2), pp. 215–221.</w:t>
      </w:r>
    </w:p>
    <w:p w14:paraId="36B4211A"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Claveria, O. and Torra, S. (2014) ‘Forecasting tourism demand to Catalonia: Neural networks vs. time series models’, </w:t>
      </w:r>
      <w:r w:rsidRPr="008E3BF7">
        <w:rPr>
          <w:rFonts w:ascii="Arial" w:hAnsi="Arial" w:cs="Arial"/>
          <w:i/>
          <w:iCs/>
          <w:noProof/>
          <w:sz w:val="20"/>
          <w:szCs w:val="20"/>
        </w:rPr>
        <w:t>Economic Modelling</w:t>
      </w:r>
      <w:r w:rsidRPr="008E3BF7">
        <w:rPr>
          <w:rFonts w:ascii="Arial" w:hAnsi="Arial" w:cs="Arial"/>
          <w:noProof/>
          <w:sz w:val="20"/>
          <w:szCs w:val="20"/>
        </w:rPr>
        <w:t>, 36, pp. 220–228.</w:t>
      </w:r>
    </w:p>
    <w:p w14:paraId="3766AAD4"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Duarte Alonso, A. </w:t>
      </w:r>
      <w:r w:rsidRPr="008E3BF7">
        <w:rPr>
          <w:rFonts w:ascii="Arial" w:hAnsi="Arial" w:cs="Arial"/>
          <w:i/>
          <w:iCs/>
          <w:noProof/>
          <w:sz w:val="20"/>
          <w:szCs w:val="20"/>
        </w:rPr>
        <w:t>et al.</w:t>
      </w:r>
      <w:r w:rsidRPr="008E3BF7">
        <w:rPr>
          <w:rFonts w:ascii="Arial" w:hAnsi="Arial" w:cs="Arial"/>
          <w:noProof/>
          <w:sz w:val="20"/>
          <w:szCs w:val="20"/>
        </w:rPr>
        <w:t xml:space="preserve"> (2020) ‘COVID-19, aftermath, impacts, and hospitality firms: An international perspective’, </w:t>
      </w:r>
      <w:r w:rsidRPr="008E3BF7">
        <w:rPr>
          <w:rFonts w:ascii="Arial" w:hAnsi="Arial" w:cs="Arial"/>
          <w:i/>
          <w:iCs/>
          <w:noProof/>
          <w:sz w:val="20"/>
          <w:szCs w:val="20"/>
        </w:rPr>
        <w:t>International Journal of Hospitality Management</w:t>
      </w:r>
      <w:r w:rsidRPr="008E3BF7">
        <w:rPr>
          <w:rFonts w:ascii="Arial" w:hAnsi="Arial" w:cs="Arial"/>
          <w:noProof/>
          <w:sz w:val="20"/>
          <w:szCs w:val="20"/>
        </w:rPr>
        <w:t>, 91, p. 102654. doi: https://doi.org/10.1016/j.ijhm.2020.102654.</w:t>
      </w:r>
    </w:p>
    <w:p w14:paraId="78B44C52"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European Comission (2020) </w:t>
      </w:r>
      <w:r w:rsidRPr="008E3BF7">
        <w:rPr>
          <w:rFonts w:ascii="Arial" w:hAnsi="Arial" w:cs="Arial"/>
          <w:i/>
          <w:iCs/>
          <w:noProof/>
          <w:sz w:val="20"/>
          <w:szCs w:val="20"/>
        </w:rPr>
        <w:t>Travel and transportation during the coronavirus pandemic</w:t>
      </w:r>
      <w:r w:rsidRPr="008E3BF7">
        <w:rPr>
          <w:rFonts w:ascii="Arial" w:hAnsi="Arial" w:cs="Arial"/>
          <w:noProof/>
          <w:sz w:val="20"/>
          <w:szCs w:val="20"/>
        </w:rPr>
        <w:t>. Available at: https://ec.europa.eu/info/live-work-travel-eu/health/coronavirus-response/travel-and-transportation-during-coronavirus-pandemic_en#travel-restrictions (Accessed: 13 September 2020).</w:t>
      </w:r>
    </w:p>
    <w:p w14:paraId="37E0E6AB"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Fourie, J. and Santana-Gallego, M. (2011) ‘The impact of mega-sport events on tourist arrivals’, </w:t>
      </w:r>
      <w:r w:rsidRPr="008E3BF7">
        <w:rPr>
          <w:rFonts w:ascii="Arial" w:hAnsi="Arial" w:cs="Arial"/>
          <w:i/>
          <w:iCs/>
          <w:noProof/>
          <w:sz w:val="20"/>
          <w:szCs w:val="20"/>
        </w:rPr>
        <w:t>Tourism management</w:t>
      </w:r>
      <w:r w:rsidRPr="008E3BF7">
        <w:rPr>
          <w:rFonts w:ascii="Arial" w:hAnsi="Arial" w:cs="Arial"/>
          <w:noProof/>
          <w:sz w:val="20"/>
          <w:szCs w:val="20"/>
        </w:rPr>
        <w:t>, 32(6), pp. 1364–1370.</w:t>
      </w:r>
    </w:p>
    <w:p w14:paraId="49FDF1C8"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Gössling, S., Scott, D. and Hall, C. M. (2020) ‘Pandemics, tourism and global change: a rapid assessment of COVID-19’, </w:t>
      </w:r>
      <w:r w:rsidRPr="008E3BF7">
        <w:rPr>
          <w:rFonts w:ascii="Arial" w:hAnsi="Arial" w:cs="Arial"/>
          <w:i/>
          <w:iCs/>
          <w:noProof/>
          <w:sz w:val="20"/>
          <w:szCs w:val="20"/>
        </w:rPr>
        <w:t>Journal of Sustainable Tourism</w:t>
      </w:r>
      <w:r w:rsidRPr="008E3BF7">
        <w:rPr>
          <w:rFonts w:ascii="Arial" w:hAnsi="Arial" w:cs="Arial"/>
          <w:noProof/>
          <w:sz w:val="20"/>
          <w:szCs w:val="20"/>
        </w:rPr>
        <w:t>, pp. 1–20.</w:t>
      </w:r>
    </w:p>
    <w:p w14:paraId="2E316052"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Gunter, U. and Önder, I. (2015) ‘Forecasting international city tourism demand for Paris: Accuracy of uni-and multivariate models employing monthly data’, </w:t>
      </w:r>
      <w:r w:rsidRPr="008E3BF7">
        <w:rPr>
          <w:rFonts w:ascii="Arial" w:hAnsi="Arial" w:cs="Arial"/>
          <w:i/>
          <w:iCs/>
          <w:noProof/>
          <w:sz w:val="20"/>
          <w:szCs w:val="20"/>
        </w:rPr>
        <w:t>Tourism management</w:t>
      </w:r>
      <w:r w:rsidRPr="008E3BF7">
        <w:rPr>
          <w:rFonts w:ascii="Arial" w:hAnsi="Arial" w:cs="Arial"/>
          <w:noProof/>
          <w:sz w:val="20"/>
          <w:szCs w:val="20"/>
        </w:rPr>
        <w:t>, 46, pp. 123–135.</w:t>
      </w:r>
    </w:p>
    <w:p w14:paraId="3748FB63"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Harvey, A. C. and Shephard, N. (1993) ‘10 structural time series models’.</w:t>
      </w:r>
    </w:p>
    <w:p w14:paraId="05E0D764"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Hosmer Jr, D. W., Lemeshow, S. and Sturdivant, R. X. (2013) </w:t>
      </w:r>
      <w:r w:rsidRPr="008E3BF7">
        <w:rPr>
          <w:rFonts w:ascii="Arial" w:hAnsi="Arial" w:cs="Arial"/>
          <w:i/>
          <w:iCs/>
          <w:noProof/>
          <w:sz w:val="20"/>
          <w:szCs w:val="20"/>
        </w:rPr>
        <w:t>Applied logistic regression</w:t>
      </w:r>
      <w:r w:rsidRPr="008E3BF7">
        <w:rPr>
          <w:rFonts w:ascii="Arial" w:hAnsi="Arial" w:cs="Arial"/>
          <w:noProof/>
          <w:sz w:val="20"/>
          <w:szCs w:val="20"/>
        </w:rPr>
        <w:t>. John Wiley &amp; Sons.</w:t>
      </w:r>
    </w:p>
    <w:p w14:paraId="1DB3C350"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lastRenderedPageBreak/>
        <w:t xml:space="preserve">Hyndman, R. </w:t>
      </w:r>
      <w:r w:rsidRPr="008E3BF7">
        <w:rPr>
          <w:rFonts w:ascii="Arial" w:hAnsi="Arial" w:cs="Arial"/>
          <w:i/>
          <w:iCs/>
          <w:noProof/>
          <w:sz w:val="20"/>
          <w:szCs w:val="20"/>
        </w:rPr>
        <w:t>et al.</w:t>
      </w:r>
      <w:r w:rsidRPr="008E3BF7">
        <w:rPr>
          <w:rFonts w:ascii="Arial" w:hAnsi="Arial" w:cs="Arial"/>
          <w:noProof/>
          <w:sz w:val="20"/>
          <w:szCs w:val="20"/>
        </w:rPr>
        <w:t xml:space="preserve"> (2008) </w:t>
      </w:r>
      <w:r w:rsidRPr="008E3BF7">
        <w:rPr>
          <w:rFonts w:ascii="Arial" w:hAnsi="Arial" w:cs="Arial"/>
          <w:i/>
          <w:iCs/>
          <w:noProof/>
          <w:sz w:val="20"/>
          <w:szCs w:val="20"/>
        </w:rPr>
        <w:t>Forecasting with exponential smoothing: the state space approach</w:t>
      </w:r>
      <w:r w:rsidRPr="008E3BF7">
        <w:rPr>
          <w:rFonts w:ascii="Arial" w:hAnsi="Arial" w:cs="Arial"/>
          <w:noProof/>
          <w:sz w:val="20"/>
          <w:szCs w:val="20"/>
        </w:rPr>
        <w:t>. Springer Science &amp; Business Media.</w:t>
      </w:r>
    </w:p>
    <w:p w14:paraId="14589F71"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Hyndman, R. J. </w:t>
      </w:r>
      <w:r w:rsidRPr="008E3BF7">
        <w:rPr>
          <w:rFonts w:ascii="Arial" w:hAnsi="Arial" w:cs="Arial"/>
          <w:i/>
          <w:iCs/>
          <w:noProof/>
          <w:sz w:val="20"/>
          <w:szCs w:val="20"/>
        </w:rPr>
        <w:t>et al.</w:t>
      </w:r>
      <w:r w:rsidRPr="008E3BF7">
        <w:rPr>
          <w:rFonts w:ascii="Arial" w:hAnsi="Arial" w:cs="Arial"/>
          <w:noProof/>
          <w:sz w:val="20"/>
          <w:szCs w:val="20"/>
        </w:rPr>
        <w:t xml:space="preserve"> (2002) ‘A state space framework for automatic forecasting using exponential smoothing methods’, </w:t>
      </w:r>
      <w:r w:rsidRPr="008E3BF7">
        <w:rPr>
          <w:rFonts w:ascii="Arial" w:hAnsi="Arial" w:cs="Arial"/>
          <w:i/>
          <w:iCs/>
          <w:noProof/>
          <w:sz w:val="20"/>
          <w:szCs w:val="20"/>
        </w:rPr>
        <w:t>International Journal of forecasting</w:t>
      </w:r>
      <w:r w:rsidRPr="008E3BF7">
        <w:rPr>
          <w:rFonts w:ascii="Arial" w:hAnsi="Arial" w:cs="Arial"/>
          <w:noProof/>
          <w:sz w:val="20"/>
          <w:szCs w:val="20"/>
        </w:rPr>
        <w:t>, 18(3), pp. 439–454.</w:t>
      </w:r>
    </w:p>
    <w:p w14:paraId="26E9818D"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Hyndman, R. J. and Athanasopoulos, G. (2018) </w:t>
      </w:r>
      <w:r w:rsidRPr="008E3BF7">
        <w:rPr>
          <w:rFonts w:ascii="Arial" w:hAnsi="Arial" w:cs="Arial"/>
          <w:i/>
          <w:iCs/>
          <w:noProof/>
          <w:sz w:val="20"/>
          <w:szCs w:val="20"/>
        </w:rPr>
        <w:t>Forecasting: principles and practice</w:t>
      </w:r>
      <w:r w:rsidRPr="008E3BF7">
        <w:rPr>
          <w:rFonts w:ascii="Arial" w:hAnsi="Arial" w:cs="Arial"/>
          <w:noProof/>
          <w:sz w:val="20"/>
          <w:szCs w:val="20"/>
        </w:rPr>
        <w:t>. OTexts.</w:t>
      </w:r>
    </w:p>
    <w:p w14:paraId="671BCD58"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Hyndman, R. J. and Khandakar, Y. (2008) ‘Automatic time series forecasting: The forecast Package for R’, </w:t>
      </w:r>
      <w:r w:rsidRPr="008E3BF7">
        <w:rPr>
          <w:rFonts w:ascii="Arial" w:hAnsi="Arial" w:cs="Arial"/>
          <w:i/>
          <w:iCs/>
          <w:noProof/>
          <w:sz w:val="20"/>
          <w:szCs w:val="20"/>
        </w:rPr>
        <w:t>Journal of Statistical Software</w:t>
      </w:r>
      <w:r w:rsidRPr="008E3BF7">
        <w:rPr>
          <w:rFonts w:ascii="Arial" w:hAnsi="Arial" w:cs="Arial"/>
          <w:noProof/>
          <w:sz w:val="20"/>
          <w:szCs w:val="20"/>
        </w:rPr>
        <w:t>, 27(3), pp. 1–22.</w:t>
      </w:r>
    </w:p>
    <w:p w14:paraId="30A1A1FB"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Makridakis, S., Wheelwright, S. C. and Hyndman, R. J. (2008) </w:t>
      </w:r>
      <w:r w:rsidRPr="008E3BF7">
        <w:rPr>
          <w:rFonts w:ascii="Arial" w:hAnsi="Arial" w:cs="Arial"/>
          <w:i/>
          <w:iCs/>
          <w:noProof/>
          <w:sz w:val="20"/>
          <w:szCs w:val="20"/>
        </w:rPr>
        <w:t>Forecasting methods and applications</w:t>
      </w:r>
      <w:r w:rsidRPr="008E3BF7">
        <w:rPr>
          <w:rFonts w:ascii="Arial" w:hAnsi="Arial" w:cs="Arial"/>
          <w:noProof/>
          <w:sz w:val="20"/>
          <w:szCs w:val="20"/>
        </w:rPr>
        <w:t>. John wiley &amp; sons.</w:t>
      </w:r>
    </w:p>
    <w:p w14:paraId="43CFDB12"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Morgan, S. L. and Winship, C. (2015) </w:t>
      </w:r>
      <w:r w:rsidRPr="008E3BF7">
        <w:rPr>
          <w:rFonts w:ascii="Arial" w:hAnsi="Arial" w:cs="Arial"/>
          <w:i/>
          <w:iCs/>
          <w:noProof/>
          <w:sz w:val="20"/>
          <w:szCs w:val="20"/>
        </w:rPr>
        <w:t>Counterfactuals and causal inference</w:t>
      </w:r>
      <w:r w:rsidRPr="008E3BF7">
        <w:rPr>
          <w:rFonts w:ascii="Arial" w:hAnsi="Arial" w:cs="Arial"/>
          <w:noProof/>
          <w:sz w:val="20"/>
          <w:szCs w:val="20"/>
        </w:rPr>
        <w:t>. Cambridge University Press.</w:t>
      </w:r>
    </w:p>
    <w:p w14:paraId="181426EB"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Nicola, M. </w:t>
      </w:r>
      <w:r w:rsidRPr="008E3BF7">
        <w:rPr>
          <w:rFonts w:ascii="Arial" w:hAnsi="Arial" w:cs="Arial"/>
          <w:i/>
          <w:iCs/>
          <w:noProof/>
          <w:sz w:val="20"/>
          <w:szCs w:val="20"/>
        </w:rPr>
        <w:t>et al.</w:t>
      </w:r>
      <w:r w:rsidRPr="008E3BF7">
        <w:rPr>
          <w:rFonts w:ascii="Arial" w:hAnsi="Arial" w:cs="Arial"/>
          <w:noProof/>
          <w:sz w:val="20"/>
          <w:szCs w:val="20"/>
        </w:rPr>
        <w:t xml:space="preserve"> (2020) ‘The socio-economic implications of the coronavirus and COVID-19 pandemic: a review’, </w:t>
      </w:r>
      <w:r w:rsidRPr="008E3BF7">
        <w:rPr>
          <w:rFonts w:ascii="Arial" w:hAnsi="Arial" w:cs="Arial"/>
          <w:i/>
          <w:iCs/>
          <w:noProof/>
          <w:sz w:val="20"/>
          <w:szCs w:val="20"/>
        </w:rPr>
        <w:t>International Journal of Surgery</w:t>
      </w:r>
      <w:r w:rsidRPr="008E3BF7">
        <w:rPr>
          <w:rFonts w:ascii="Arial" w:hAnsi="Arial" w:cs="Arial"/>
          <w:noProof/>
          <w:sz w:val="20"/>
          <w:szCs w:val="20"/>
        </w:rPr>
        <w:t>.</w:t>
      </w:r>
    </w:p>
    <w:p w14:paraId="5825D5FE"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Rubin, D. B. (2005) ‘Causal inference using potential outcomes: Design, modeling, decisions’, </w:t>
      </w:r>
      <w:r w:rsidRPr="008E3BF7">
        <w:rPr>
          <w:rFonts w:ascii="Arial" w:hAnsi="Arial" w:cs="Arial"/>
          <w:i/>
          <w:iCs/>
          <w:noProof/>
          <w:sz w:val="20"/>
          <w:szCs w:val="20"/>
        </w:rPr>
        <w:t>Journal of the American Statistical Association</w:t>
      </w:r>
      <w:r w:rsidRPr="008E3BF7">
        <w:rPr>
          <w:rFonts w:ascii="Arial" w:hAnsi="Arial" w:cs="Arial"/>
          <w:noProof/>
          <w:sz w:val="20"/>
          <w:szCs w:val="20"/>
        </w:rPr>
        <w:t>, 100(469), pp. 322–331.</w:t>
      </w:r>
    </w:p>
    <w:p w14:paraId="3E8F5C32"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Shorrocks, A. (2013) ‘Decomposition procedures for distributional analysis: a unified framework based on the Shapley value’, </w:t>
      </w:r>
      <w:r w:rsidRPr="008E3BF7">
        <w:rPr>
          <w:rFonts w:ascii="Arial" w:hAnsi="Arial" w:cs="Arial"/>
          <w:i/>
          <w:iCs/>
          <w:noProof/>
          <w:sz w:val="20"/>
          <w:szCs w:val="20"/>
        </w:rPr>
        <w:t>The Journal of Economic Inequality</w:t>
      </w:r>
      <w:r w:rsidRPr="008E3BF7">
        <w:rPr>
          <w:rFonts w:ascii="Arial" w:hAnsi="Arial" w:cs="Arial"/>
          <w:noProof/>
          <w:sz w:val="20"/>
          <w:szCs w:val="20"/>
        </w:rPr>
        <w:t>, 11(1), pp. 99–126. doi: 10.1007/s10888-011-9214-z.</w:t>
      </w:r>
    </w:p>
    <w:p w14:paraId="1CD0CBB9"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Svozil, D., Kvasnicka, V. and Pospichal, J. (1997) ‘Introduction to multi-layer feed-forward neural networks’, </w:t>
      </w:r>
      <w:r w:rsidRPr="008E3BF7">
        <w:rPr>
          <w:rFonts w:ascii="Arial" w:hAnsi="Arial" w:cs="Arial"/>
          <w:i/>
          <w:iCs/>
          <w:noProof/>
          <w:sz w:val="20"/>
          <w:szCs w:val="20"/>
        </w:rPr>
        <w:t>Chemometrics and intelligent laboratory systems</w:t>
      </w:r>
      <w:r w:rsidRPr="008E3BF7">
        <w:rPr>
          <w:rFonts w:ascii="Arial" w:hAnsi="Arial" w:cs="Arial"/>
          <w:noProof/>
          <w:sz w:val="20"/>
          <w:szCs w:val="20"/>
        </w:rPr>
        <w:t>, 39(1), pp. 43–62.</w:t>
      </w:r>
    </w:p>
    <w:p w14:paraId="11243EB8"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20"/>
        </w:rPr>
      </w:pPr>
      <w:r w:rsidRPr="008E3BF7">
        <w:rPr>
          <w:rFonts w:ascii="Arial" w:hAnsi="Arial" w:cs="Arial"/>
          <w:noProof/>
          <w:sz w:val="20"/>
          <w:szCs w:val="20"/>
        </w:rPr>
        <w:t xml:space="preserve">Taylor, S. J. and Letham, B. (2018) ‘Forecasting at scale’, </w:t>
      </w:r>
      <w:r w:rsidRPr="008E3BF7">
        <w:rPr>
          <w:rFonts w:ascii="Arial" w:hAnsi="Arial" w:cs="Arial"/>
          <w:i/>
          <w:iCs/>
          <w:noProof/>
          <w:sz w:val="20"/>
          <w:szCs w:val="20"/>
        </w:rPr>
        <w:t>The American Statistician</w:t>
      </w:r>
      <w:r w:rsidRPr="008E3BF7">
        <w:rPr>
          <w:rFonts w:ascii="Arial" w:hAnsi="Arial" w:cs="Arial"/>
          <w:noProof/>
          <w:sz w:val="20"/>
          <w:szCs w:val="20"/>
        </w:rPr>
        <w:t>, 72(1), pp. 37–45.</w:t>
      </w:r>
    </w:p>
    <w:p w14:paraId="3686C966" w14:textId="77777777" w:rsidR="008E3BF7" w:rsidRPr="008E3BF7" w:rsidRDefault="008E3BF7" w:rsidP="008E3BF7">
      <w:pPr>
        <w:widowControl w:val="0"/>
        <w:autoSpaceDE w:val="0"/>
        <w:autoSpaceDN w:val="0"/>
        <w:adjustRightInd w:val="0"/>
        <w:spacing w:after="0" w:line="240" w:lineRule="auto"/>
        <w:rPr>
          <w:rFonts w:ascii="Arial" w:hAnsi="Arial" w:cs="Arial"/>
          <w:noProof/>
          <w:sz w:val="20"/>
          <w:szCs w:val="18"/>
        </w:rPr>
      </w:pPr>
      <w:r w:rsidRPr="008E3BF7">
        <w:rPr>
          <w:rFonts w:ascii="Arial" w:hAnsi="Arial" w:cs="Arial"/>
          <w:noProof/>
          <w:sz w:val="20"/>
          <w:szCs w:val="20"/>
        </w:rPr>
        <w:t xml:space="preserve">Zervas, G., Proserpio, D. and Byers, J. W. (2015) ‘The impact of the sharing economy on the hotel industry: Evidence from Airbnb’s entry into the Texas market’, in </w:t>
      </w:r>
      <w:r w:rsidRPr="008E3BF7">
        <w:rPr>
          <w:rFonts w:ascii="Arial" w:hAnsi="Arial" w:cs="Arial"/>
          <w:i/>
          <w:iCs/>
          <w:noProof/>
          <w:sz w:val="20"/>
          <w:szCs w:val="20"/>
        </w:rPr>
        <w:t>Proceedings of the Sixteenth ACM Conference on Economics and Computation</w:t>
      </w:r>
      <w:r w:rsidRPr="008E3BF7">
        <w:rPr>
          <w:rFonts w:ascii="Arial" w:hAnsi="Arial" w:cs="Arial"/>
          <w:noProof/>
          <w:sz w:val="20"/>
          <w:szCs w:val="20"/>
        </w:rPr>
        <w:t>, p. 637.</w:t>
      </w:r>
    </w:p>
    <w:p w14:paraId="0AE2ED21" w14:textId="69B0F45D" w:rsidR="00302585" w:rsidRPr="008E3BF7" w:rsidRDefault="001C250C" w:rsidP="00237322">
      <w:pPr>
        <w:spacing w:after="0" w:line="240" w:lineRule="auto"/>
        <w:jc w:val="both"/>
        <w:rPr>
          <w:rFonts w:ascii="Arial" w:hAnsi="Arial" w:cs="Arial"/>
          <w:sz w:val="18"/>
          <w:szCs w:val="18"/>
        </w:rPr>
      </w:pPr>
      <w:r w:rsidRPr="008E3BF7">
        <w:rPr>
          <w:rFonts w:ascii="Arial" w:hAnsi="Arial" w:cs="Arial"/>
          <w:sz w:val="20"/>
          <w:szCs w:val="20"/>
        </w:rPr>
        <w:fldChar w:fldCharType="end"/>
      </w:r>
    </w:p>
    <w:sectPr w:rsidR="00302585" w:rsidRPr="008E3BF7" w:rsidSect="00237322">
      <w:pgSz w:w="12240" w:h="15840"/>
      <w:pgMar w:top="3038" w:right="2131" w:bottom="3038" w:left="213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0E0FEA" w14:textId="77777777" w:rsidR="007F5F07" w:rsidRDefault="007F5F07" w:rsidP="00D47DBD">
      <w:pPr>
        <w:spacing w:after="0" w:line="240" w:lineRule="auto"/>
      </w:pPr>
      <w:r>
        <w:separator/>
      </w:r>
    </w:p>
  </w:endnote>
  <w:endnote w:type="continuationSeparator" w:id="0">
    <w:p w14:paraId="07644F67" w14:textId="77777777" w:rsidR="007F5F07" w:rsidRDefault="007F5F07" w:rsidP="00D47D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EC9805" w14:textId="77777777" w:rsidR="007F5F07" w:rsidRDefault="007F5F07" w:rsidP="00D47DBD">
      <w:pPr>
        <w:spacing w:after="0" w:line="240" w:lineRule="auto"/>
      </w:pPr>
      <w:r>
        <w:separator/>
      </w:r>
    </w:p>
  </w:footnote>
  <w:footnote w:type="continuationSeparator" w:id="0">
    <w:p w14:paraId="26FDDB35" w14:textId="77777777" w:rsidR="007F5F07" w:rsidRDefault="007F5F07" w:rsidP="00D47DBD">
      <w:pPr>
        <w:spacing w:after="0" w:line="240" w:lineRule="auto"/>
      </w:pPr>
      <w:r>
        <w:continuationSeparator/>
      </w:r>
    </w:p>
  </w:footnote>
  <w:footnote w:id="1">
    <w:p w14:paraId="48AB0224" w14:textId="3832362C" w:rsidR="00D47DBD" w:rsidRPr="00D47DBD" w:rsidRDefault="00D47DBD">
      <w:pPr>
        <w:pStyle w:val="FootnoteText"/>
        <w:rPr>
          <w:rFonts w:ascii="Times New Roman" w:hAnsi="Times New Roman" w:cs="Times New Roman"/>
        </w:rPr>
      </w:pPr>
      <w:r w:rsidRPr="00D47DBD">
        <w:rPr>
          <w:rStyle w:val="FootnoteReference"/>
          <w:rFonts w:ascii="Times New Roman" w:hAnsi="Times New Roman" w:cs="Times New Roman"/>
        </w:rPr>
        <w:footnoteRef/>
      </w:r>
      <w:r w:rsidRPr="00D47DBD">
        <w:rPr>
          <w:rFonts w:ascii="Times New Roman" w:hAnsi="Times New Roman" w:cs="Times New Roman"/>
        </w:rPr>
        <w:t xml:space="preserve"> </w:t>
      </w:r>
      <w:r w:rsidRPr="00D47DBD">
        <w:rPr>
          <w:rFonts w:ascii="Times New Roman" w:hAnsi="Times New Roman" w:cs="Times New Roman"/>
        </w:rPr>
        <w:t xml:space="preserve">This </w:t>
      </w:r>
      <w:r w:rsidRPr="00D47DBD">
        <w:rPr>
          <w:rFonts w:ascii="Times New Roman" w:hAnsi="Times New Roman" w:cs="Times New Roman"/>
        </w:rPr>
        <w:t>research paper</w:t>
      </w:r>
      <w:r w:rsidRPr="00D47DBD">
        <w:rPr>
          <w:rFonts w:ascii="Times New Roman" w:hAnsi="Times New Roman" w:cs="Times New Roman"/>
        </w:rPr>
        <w:t xml:space="preserve"> is an output of a research project implemented within the framework of the Academic Fund Program at HSE University in 2019 — 2020 (grant №19-01-070) and within the framework of the Russian Academic Excellence Project «5-100».</w:t>
      </w:r>
      <w:r>
        <w:rPr>
          <w:rFonts w:ascii="Times New Roman" w:hAnsi="Times New Roman" w:cs="Times New Roman"/>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366AA"/>
    <w:multiLevelType w:val="hybridMultilevel"/>
    <w:tmpl w:val="B8BA6BF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715A2F"/>
    <w:multiLevelType w:val="multilevel"/>
    <w:tmpl w:val="D942515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6306D1E"/>
    <w:multiLevelType w:val="hybridMultilevel"/>
    <w:tmpl w:val="E6DE9998"/>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8633D20"/>
    <w:multiLevelType w:val="hybridMultilevel"/>
    <w:tmpl w:val="8272EB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F510F2B"/>
    <w:multiLevelType w:val="multilevel"/>
    <w:tmpl w:val="F0104FE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F2A0FA4"/>
    <w:multiLevelType w:val="multilevel"/>
    <w:tmpl w:val="9D86845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39DF6EA6"/>
    <w:multiLevelType w:val="hybridMultilevel"/>
    <w:tmpl w:val="703C51F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A060552"/>
    <w:multiLevelType w:val="hybridMultilevel"/>
    <w:tmpl w:val="A2E603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E8A5131"/>
    <w:multiLevelType w:val="hybridMultilevel"/>
    <w:tmpl w:val="390289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7D3462"/>
    <w:multiLevelType w:val="multilevel"/>
    <w:tmpl w:val="D942515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451789D"/>
    <w:multiLevelType w:val="hybridMultilevel"/>
    <w:tmpl w:val="E3444A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CBB461F"/>
    <w:multiLevelType w:val="multilevel"/>
    <w:tmpl w:val="A80ECCC0"/>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608770D8"/>
    <w:multiLevelType w:val="hybridMultilevel"/>
    <w:tmpl w:val="AA32D0F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26F106E"/>
    <w:multiLevelType w:val="hybridMultilevel"/>
    <w:tmpl w:val="1F50A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3A044B5"/>
    <w:multiLevelType w:val="multilevel"/>
    <w:tmpl w:val="F0104FE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AF51257"/>
    <w:multiLevelType w:val="hybridMultilevel"/>
    <w:tmpl w:val="A6CA00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CB17DF5"/>
    <w:multiLevelType w:val="multilevel"/>
    <w:tmpl w:val="CD2EE22C"/>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786516D2"/>
    <w:multiLevelType w:val="hybridMultilevel"/>
    <w:tmpl w:val="5846FE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9D1273E"/>
    <w:multiLevelType w:val="multilevel"/>
    <w:tmpl w:val="9D86845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7FA400F8"/>
    <w:multiLevelType w:val="hybridMultilevel"/>
    <w:tmpl w:val="A8765D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5"/>
  </w:num>
  <w:num w:numId="4">
    <w:abstractNumId w:val="0"/>
  </w:num>
  <w:num w:numId="5">
    <w:abstractNumId w:val="2"/>
  </w:num>
  <w:num w:numId="6">
    <w:abstractNumId w:val="19"/>
  </w:num>
  <w:num w:numId="7">
    <w:abstractNumId w:val="12"/>
  </w:num>
  <w:num w:numId="8">
    <w:abstractNumId w:val="5"/>
  </w:num>
  <w:num w:numId="9">
    <w:abstractNumId w:val="10"/>
  </w:num>
  <w:num w:numId="10">
    <w:abstractNumId w:val="18"/>
  </w:num>
  <w:num w:numId="11">
    <w:abstractNumId w:val="17"/>
  </w:num>
  <w:num w:numId="12">
    <w:abstractNumId w:val="3"/>
  </w:num>
  <w:num w:numId="13">
    <w:abstractNumId w:val="7"/>
  </w:num>
  <w:num w:numId="14">
    <w:abstractNumId w:val="16"/>
  </w:num>
  <w:num w:numId="15">
    <w:abstractNumId w:val="11"/>
  </w:num>
  <w:num w:numId="16">
    <w:abstractNumId w:val="1"/>
  </w:num>
  <w:num w:numId="17">
    <w:abstractNumId w:val="9"/>
  </w:num>
  <w:num w:numId="18">
    <w:abstractNumId w:val="14"/>
  </w:num>
  <w:num w:numId="19">
    <w:abstractNumId w:val="4"/>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4100"/>
    <w:rsid w:val="00000A31"/>
    <w:rsid w:val="00004443"/>
    <w:rsid w:val="00022BC1"/>
    <w:rsid w:val="00022CCD"/>
    <w:rsid w:val="0004316B"/>
    <w:rsid w:val="00044A3F"/>
    <w:rsid w:val="00054100"/>
    <w:rsid w:val="00056475"/>
    <w:rsid w:val="00066C5E"/>
    <w:rsid w:val="00070286"/>
    <w:rsid w:val="00087EAE"/>
    <w:rsid w:val="000C2694"/>
    <w:rsid w:val="000C2E10"/>
    <w:rsid w:val="000C543B"/>
    <w:rsid w:val="000C6F7A"/>
    <w:rsid w:val="000D1F00"/>
    <w:rsid w:val="000E2619"/>
    <w:rsid w:val="000F0012"/>
    <w:rsid w:val="00102F39"/>
    <w:rsid w:val="001051D0"/>
    <w:rsid w:val="00106B08"/>
    <w:rsid w:val="00107087"/>
    <w:rsid w:val="001101AA"/>
    <w:rsid w:val="0011668A"/>
    <w:rsid w:val="00126F23"/>
    <w:rsid w:val="00132EFD"/>
    <w:rsid w:val="00137671"/>
    <w:rsid w:val="0015068B"/>
    <w:rsid w:val="0015244A"/>
    <w:rsid w:val="001706E3"/>
    <w:rsid w:val="0019111A"/>
    <w:rsid w:val="001958D6"/>
    <w:rsid w:val="001958F6"/>
    <w:rsid w:val="001A2D4E"/>
    <w:rsid w:val="001A79FB"/>
    <w:rsid w:val="001C250C"/>
    <w:rsid w:val="00204427"/>
    <w:rsid w:val="002142D4"/>
    <w:rsid w:val="00237322"/>
    <w:rsid w:val="00256975"/>
    <w:rsid w:val="0026503F"/>
    <w:rsid w:val="002668C2"/>
    <w:rsid w:val="002772F1"/>
    <w:rsid w:val="002854E3"/>
    <w:rsid w:val="00293919"/>
    <w:rsid w:val="00297C8E"/>
    <w:rsid w:val="00297CFE"/>
    <w:rsid w:val="002B1894"/>
    <w:rsid w:val="002C43A8"/>
    <w:rsid w:val="002D2D64"/>
    <w:rsid w:val="002E2AB8"/>
    <w:rsid w:val="002E7EBD"/>
    <w:rsid w:val="002F67A0"/>
    <w:rsid w:val="00302585"/>
    <w:rsid w:val="00321D21"/>
    <w:rsid w:val="00326365"/>
    <w:rsid w:val="00334AF7"/>
    <w:rsid w:val="00343740"/>
    <w:rsid w:val="00356D68"/>
    <w:rsid w:val="003672FC"/>
    <w:rsid w:val="00372358"/>
    <w:rsid w:val="00376540"/>
    <w:rsid w:val="00385D70"/>
    <w:rsid w:val="003E2C56"/>
    <w:rsid w:val="003F2A2D"/>
    <w:rsid w:val="00424A3A"/>
    <w:rsid w:val="0043311B"/>
    <w:rsid w:val="004341C1"/>
    <w:rsid w:val="004423D3"/>
    <w:rsid w:val="00442673"/>
    <w:rsid w:val="00452805"/>
    <w:rsid w:val="00460F1B"/>
    <w:rsid w:val="00465C84"/>
    <w:rsid w:val="00491ECD"/>
    <w:rsid w:val="00492E17"/>
    <w:rsid w:val="004C70B2"/>
    <w:rsid w:val="004C72B8"/>
    <w:rsid w:val="004E16C4"/>
    <w:rsid w:val="004E57C4"/>
    <w:rsid w:val="00502832"/>
    <w:rsid w:val="00533BFE"/>
    <w:rsid w:val="0053638A"/>
    <w:rsid w:val="005412DF"/>
    <w:rsid w:val="00545109"/>
    <w:rsid w:val="00560343"/>
    <w:rsid w:val="00561370"/>
    <w:rsid w:val="005618D3"/>
    <w:rsid w:val="005705A3"/>
    <w:rsid w:val="005766CD"/>
    <w:rsid w:val="00582B0B"/>
    <w:rsid w:val="00587F8E"/>
    <w:rsid w:val="00592F91"/>
    <w:rsid w:val="00594AA0"/>
    <w:rsid w:val="005A4C02"/>
    <w:rsid w:val="005B3D7A"/>
    <w:rsid w:val="005E1DEA"/>
    <w:rsid w:val="005E1E3A"/>
    <w:rsid w:val="00630198"/>
    <w:rsid w:val="00646AFE"/>
    <w:rsid w:val="006533EA"/>
    <w:rsid w:val="00682A5F"/>
    <w:rsid w:val="006A08DB"/>
    <w:rsid w:val="006B275A"/>
    <w:rsid w:val="006C05E0"/>
    <w:rsid w:val="006C2C7E"/>
    <w:rsid w:val="006C4C87"/>
    <w:rsid w:val="006E0DD4"/>
    <w:rsid w:val="006F161D"/>
    <w:rsid w:val="007020DA"/>
    <w:rsid w:val="00705318"/>
    <w:rsid w:val="00711BCE"/>
    <w:rsid w:val="007170F2"/>
    <w:rsid w:val="0072166D"/>
    <w:rsid w:val="00732CE8"/>
    <w:rsid w:val="0079734F"/>
    <w:rsid w:val="007A0CA9"/>
    <w:rsid w:val="007A1953"/>
    <w:rsid w:val="007A5AAD"/>
    <w:rsid w:val="007B51A5"/>
    <w:rsid w:val="007F5F07"/>
    <w:rsid w:val="0080230F"/>
    <w:rsid w:val="00820E97"/>
    <w:rsid w:val="008301AA"/>
    <w:rsid w:val="00860F63"/>
    <w:rsid w:val="00865A29"/>
    <w:rsid w:val="00867B38"/>
    <w:rsid w:val="00877686"/>
    <w:rsid w:val="00877F30"/>
    <w:rsid w:val="00894312"/>
    <w:rsid w:val="00897BDB"/>
    <w:rsid w:val="008A4803"/>
    <w:rsid w:val="008B0D59"/>
    <w:rsid w:val="008B64BF"/>
    <w:rsid w:val="008C2BBE"/>
    <w:rsid w:val="008D49CE"/>
    <w:rsid w:val="008E3BF7"/>
    <w:rsid w:val="008F43D5"/>
    <w:rsid w:val="00911326"/>
    <w:rsid w:val="00923E79"/>
    <w:rsid w:val="00930D16"/>
    <w:rsid w:val="00932FB5"/>
    <w:rsid w:val="00933833"/>
    <w:rsid w:val="00935C66"/>
    <w:rsid w:val="009478ED"/>
    <w:rsid w:val="009500F1"/>
    <w:rsid w:val="00960B4E"/>
    <w:rsid w:val="009A3C2B"/>
    <w:rsid w:val="009C1091"/>
    <w:rsid w:val="009C3F30"/>
    <w:rsid w:val="009D0669"/>
    <w:rsid w:val="009D37F8"/>
    <w:rsid w:val="009D735E"/>
    <w:rsid w:val="009E631A"/>
    <w:rsid w:val="009F056C"/>
    <w:rsid w:val="009F4971"/>
    <w:rsid w:val="00A21499"/>
    <w:rsid w:val="00A30653"/>
    <w:rsid w:val="00A35D01"/>
    <w:rsid w:val="00A41B22"/>
    <w:rsid w:val="00AB198C"/>
    <w:rsid w:val="00AB5057"/>
    <w:rsid w:val="00AF26FF"/>
    <w:rsid w:val="00B22546"/>
    <w:rsid w:val="00B365A4"/>
    <w:rsid w:val="00B42E25"/>
    <w:rsid w:val="00B43646"/>
    <w:rsid w:val="00B52859"/>
    <w:rsid w:val="00B732E8"/>
    <w:rsid w:val="00B844A9"/>
    <w:rsid w:val="00B930CA"/>
    <w:rsid w:val="00BA071B"/>
    <w:rsid w:val="00BD6A4B"/>
    <w:rsid w:val="00C173F3"/>
    <w:rsid w:val="00C220BB"/>
    <w:rsid w:val="00C24393"/>
    <w:rsid w:val="00C25A57"/>
    <w:rsid w:val="00C43FE8"/>
    <w:rsid w:val="00C6269E"/>
    <w:rsid w:val="00C708ED"/>
    <w:rsid w:val="00C7357A"/>
    <w:rsid w:val="00C762BF"/>
    <w:rsid w:val="00C859BD"/>
    <w:rsid w:val="00C86EF5"/>
    <w:rsid w:val="00C8717B"/>
    <w:rsid w:val="00C87755"/>
    <w:rsid w:val="00C91484"/>
    <w:rsid w:val="00C92530"/>
    <w:rsid w:val="00C96D74"/>
    <w:rsid w:val="00CB177B"/>
    <w:rsid w:val="00CB61DB"/>
    <w:rsid w:val="00CC5961"/>
    <w:rsid w:val="00CE3499"/>
    <w:rsid w:val="00CE64FC"/>
    <w:rsid w:val="00CF6192"/>
    <w:rsid w:val="00D11118"/>
    <w:rsid w:val="00D36B57"/>
    <w:rsid w:val="00D44548"/>
    <w:rsid w:val="00D4590C"/>
    <w:rsid w:val="00D4600F"/>
    <w:rsid w:val="00D47DBD"/>
    <w:rsid w:val="00D5175D"/>
    <w:rsid w:val="00D54CBC"/>
    <w:rsid w:val="00D56430"/>
    <w:rsid w:val="00D74D27"/>
    <w:rsid w:val="00D82DE7"/>
    <w:rsid w:val="00D90176"/>
    <w:rsid w:val="00D93351"/>
    <w:rsid w:val="00D94E37"/>
    <w:rsid w:val="00DA4EA7"/>
    <w:rsid w:val="00DB03BD"/>
    <w:rsid w:val="00DB7E01"/>
    <w:rsid w:val="00DC022F"/>
    <w:rsid w:val="00DD2698"/>
    <w:rsid w:val="00DD4DB4"/>
    <w:rsid w:val="00E07149"/>
    <w:rsid w:val="00E07D28"/>
    <w:rsid w:val="00E226AA"/>
    <w:rsid w:val="00E440C8"/>
    <w:rsid w:val="00EA6040"/>
    <w:rsid w:val="00EB28C6"/>
    <w:rsid w:val="00EC5E7B"/>
    <w:rsid w:val="00ED2217"/>
    <w:rsid w:val="00ED30E3"/>
    <w:rsid w:val="00ED74B5"/>
    <w:rsid w:val="00EE5663"/>
    <w:rsid w:val="00EE5CFE"/>
    <w:rsid w:val="00EE7317"/>
    <w:rsid w:val="00F00C03"/>
    <w:rsid w:val="00F07E0D"/>
    <w:rsid w:val="00F16A71"/>
    <w:rsid w:val="00F24099"/>
    <w:rsid w:val="00F30290"/>
    <w:rsid w:val="00F30D6F"/>
    <w:rsid w:val="00F54BFC"/>
    <w:rsid w:val="00F65A85"/>
    <w:rsid w:val="00F80BAE"/>
    <w:rsid w:val="00F9716D"/>
    <w:rsid w:val="00FD2DAC"/>
    <w:rsid w:val="00FD52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0C40A5"/>
  <w15:chartTrackingRefBased/>
  <w15:docId w15:val="{C41B73A6-C07D-4806-A5B2-0C1741A09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4E16C4"/>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051D0"/>
    <w:rPr>
      <w:color w:val="0000FF"/>
      <w:u w:val="single"/>
    </w:rPr>
  </w:style>
  <w:style w:type="paragraph" w:styleId="ListParagraph">
    <w:name w:val="List Paragraph"/>
    <w:basedOn w:val="Normal"/>
    <w:uiPriority w:val="34"/>
    <w:qFormat/>
    <w:rsid w:val="00F9716D"/>
    <w:pPr>
      <w:ind w:left="720"/>
      <w:contextualSpacing/>
    </w:pPr>
  </w:style>
  <w:style w:type="character" w:customStyle="1" w:styleId="Heading3Char">
    <w:name w:val="Heading 3 Char"/>
    <w:basedOn w:val="DefaultParagraphFont"/>
    <w:link w:val="Heading3"/>
    <w:uiPriority w:val="9"/>
    <w:rsid w:val="004E16C4"/>
    <w:rPr>
      <w:rFonts w:ascii="Times New Roman" w:eastAsia="Times New Roman" w:hAnsi="Times New Roman" w:cs="Times New Roman"/>
      <w:b/>
      <w:bCs/>
      <w:sz w:val="27"/>
      <w:szCs w:val="27"/>
    </w:rPr>
  </w:style>
  <w:style w:type="character" w:styleId="UnresolvedMention">
    <w:name w:val="Unresolved Mention"/>
    <w:basedOn w:val="DefaultParagraphFont"/>
    <w:uiPriority w:val="99"/>
    <w:semiHidden/>
    <w:unhideWhenUsed/>
    <w:rsid w:val="00DB7E01"/>
    <w:rPr>
      <w:color w:val="605E5C"/>
      <w:shd w:val="clear" w:color="auto" w:fill="E1DFDD"/>
    </w:rPr>
  </w:style>
  <w:style w:type="paragraph" w:styleId="BalloonText">
    <w:name w:val="Balloon Text"/>
    <w:basedOn w:val="Normal"/>
    <w:link w:val="BalloonTextChar"/>
    <w:uiPriority w:val="99"/>
    <w:semiHidden/>
    <w:unhideWhenUsed/>
    <w:rsid w:val="003672F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72FC"/>
    <w:rPr>
      <w:rFonts w:ascii="Segoe UI" w:hAnsi="Segoe UI" w:cs="Segoe UI"/>
      <w:sz w:val="18"/>
      <w:szCs w:val="18"/>
    </w:rPr>
  </w:style>
  <w:style w:type="character" w:customStyle="1" w:styleId="leaf">
    <w:name w:val="leaf"/>
    <w:basedOn w:val="DefaultParagraphFont"/>
    <w:rsid w:val="009D0669"/>
  </w:style>
  <w:style w:type="paragraph" w:styleId="NormalWeb">
    <w:name w:val="Normal (Web)"/>
    <w:basedOn w:val="Normal"/>
    <w:uiPriority w:val="99"/>
    <w:semiHidden/>
    <w:unhideWhenUsed/>
    <w:rsid w:val="007A5AAD"/>
    <w:pPr>
      <w:spacing w:before="100" w:beforeAutospacing="1" w:after="100" w:afterAutospacing="1" w:line="240" w:lineRule="auto"/>
    </w:pPr>
    <w:rPr>
      <w:rFonts w:ascii="Times New Roman" w:eastAsia="Times New Roman" w:hAnsi="Times New Roman" w:cs="Times New Roman"/>
      <w:sz w:val="24"/>
      <w:szCs w:val="24"/>
    </w:rPr>
  </w:style>
  <w:style w:type="character" w:styleId="HTMLCode">
    <w:name w:val="HTML Code"/>
    <w:basedOn w:val="DefaultParagraphFont"/>
    <w:uiPriority w:val="99"/>
    <w:semiHidden/>
    <w:unhideWhenUsed/>
    <w:rsid w:val="007A5AAD"/>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F30D6F"/>
    <w:rPr>
      <w:color w:val="954F72" w:themeColor="followedHyperlink"/>
      <w:u w:val="single"/>
    </w:rPr>
  </w:style>
  <w:style w:type="table" w:styleId="TableGrid">
    <w:name w:val="Table Grid"/>
    <w:basedOn w:val="TableNormal"/>
    <w:uiPriority w:val="39"/>
    <w:rsid w:val="002668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2C43A8"/>
    <w:rPr>
      <w:i/>
      <w:iCs/>
    </w:rPr>
  </w:style>
  <w:style w:type="character" w:customStyle="1" w:styleId="ref-lnk">
    <w:name w:val="ref-lnk"/>
    <w:basedOn w:val="DefaultParagraphFont"/>
    <w:rsid w:val="006533EA"/>
  </w:style>
  <w:style w:type="paragraph" w:styleId="FootnoteText">
    <w:name w:val="footnote text"/>
    <w:basedOn w:val="Normal"/>
    <w:link w:val="FootnoteTextChar"/>
    <w:uiPriority w:val="99"/>
    <w:semiHidden/>
    <w:unhideWhenUsed/>
    <w:rsid w:val="00D47DB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47DBD"/>
    <w:rPr>
      <w:sz w:val="20"/>
      <w:szCs w:val="20"/>
    </w:rPr>
  </w:style>
  <w:style w:type="character" w:styleId="FootnoteReference">
    <w:name w:val="footnote reference"/>
    <w:basedOn w:val="DefaultParagraphFont"/>
    <w:uiPriority w:val="99"/>
    <w:semiHidden/>
    <w:unhideWhenUsed/>
    <w:rsid w:val="00D47D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0466842">
      <w:bodyDiv w:val="1"/>
      <w:marLeft w:val="0"/>
      <w:marRight w:val="0"/>
      <w:marTop w:val="0"/>
      <w:marBottom w:val="0"/>
      <w:divBdr>
        <w:top w:val="none" w:sz="0" w:space="0" w:color="auto"/>
        <w:left w:val="none" w:sz="0" w:space="0" w:color="auto"/>
        <w:bottom w:val="none" w:sz="0" w:space="0" w:color="auto"/>
        <w:right w:val="none" w:sz="0" w:space="0" w:color="auto"/>
      </w:divBdr>
    </w:div>
    <w:div w:id="774984638">
      <w:bodyDiv w:val="1"/>
      <w:marLeft w:val="0"/>
      <w:marRight w:val="0"/>
      <w:marTop w:val="0"/>
      <w:marBottom w:val="0"/>
      <w:divBdr>
        <w:top w:val="none" w:sz="0" w:space="0" w:color="auto"/>
        <w:left w:val="none" w:sz="0" w:space="0" w:color="auto"/>
        <w:bottom w:val="none" w:sz="0" w:space="0" w:color="auto"/>
        <w:right w:val="none" w:sz="0" w:space="0" w:color="auto"/>
      </w:divBdr>
    </w:div>
    <w:div w:id="1059479621">
      <w:bodyDiv w:val="1"/>
      <w:marLeft w:val="0"/>
      <w:marRight w:val="0"/>
      <w:marTop w:val="0"/>
      <w:marBottom w:val="0"/>
      <w:divBdr>
        <w:top w:val="none" w:sz="0" w:space="0" w:color="auto"/>
        <w:left w:val="none" w:sz="0" w:space="0" w:color="auto"/>
        <w:bottom w:val="none" w:sz="0" w:space="0" w:color="auto"/>
        <w:right w:val="none" w:sz="0" w:space="0" w:color="auto"/>
      </w:divBdr>
    </w:div>
    <w:div w:id="1086684321">
      <w:bodyDiv w:val="1"/>
      <w:marLeft w:val="0"/>
      <w:marRight w:val="0"/>
      <w:marTop w:val="0"/>
      <w:marBottom w:val="0"/>
      <w:divBdr>
        <w:top w:val="none" w:sz="0" w:space="0" w:color="auto"/>
        <w:left w:val="none" w:sz="0" w:space="0" w:color="auto"/>
        <w:bottom w:val="none" w:sz="0" w:space="0" w:color="auto"/>
        <w:right w:val="none" w:sz="0" w:space="0" w:color="auto"/>
      </w:divBdr>
    </w:div>
    <w:div w:id="1545676684">
      <w:bodyDiv w:val="1"/>
      <w:marLeft w:val="0"/>
      <w:marRight w:val="0"/>
      <w:marTop w:val="0"/>
      <w:marBottom w:val="0"/>
      <w:divBdr>
        <w:top w:val="none" w:sz="0" w:space="0" w:color="auto"/>
        <w:left w:val="none" w:sz="0" w:space="0" w:color="auto"/>
        <w:bottom w:val="none" w:sz="0" w:space="0" w:color="auto"/>
        <w:right w:val="none" w:sz="0" w:space="0" w:color="auto"/>
      </w:divBdr>
    </w:div>
    <w:div w:id="1839543156">
      <w:bodyDiv w:val="1"/>
      <w:marLeft w:val="0"/>
      <w:marRight w:val="0"/>
      <w:marTop w:val="0"/>
      <w:marBottom w:val="0"/>
      <w:divBdr>
        <w:top w:val="none" w:sz="0" w:space="0" w:color="auto"/>
        <w:left w:val="none" w:sz="0" w:space="0" w:color="auto"/>
        <w:bottom w:val="none" w:sz="0" w:space="0" w:color="auto"/>
        <w:right w:val="none" w:sz="0" w:space="0" w:color="auto"/>
      </w:divBdr>
    </w:div>
    <w:div w:id="2055883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eurostat/web/tourism/data/database"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4AA1FA-D732-4CDD-B086-9080F0CAD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18</Pages>
  <Words>11154</Words>
  <Characters>63584</Characters>
  <Application>Microsoft Office Word</Application>
  <DocSecurity>0</DocSecurity>
  <Lines>529</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Антипов Евгений Александрович</dc:creator>
  <cp:keywords/>
  <dc:description/>
  <cp:lastModifiedBy>Антипов Евгений Александрович</cp:lastModifiedBy>
  <cp:revision>8</cp:revision>
  <cp:lastPrinted>2020-09-17T17:51:00Z</cp:lastPrinted>
  <dcterms:created xsi:type="dcterms:W3CDTF">2020-10-08T23:50:00Z</dcterms:created>
  <dcterms:modified xsi:type="dcterms:W3CDTF">2020-12-15T15:06:00Z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http://www.zotero.org/styles/international-journal-of-hospitality-management</vt:lpwstr>
  </property>
  <property fmtid="{D5CDD505-2E9C-101B-9397-08002B2CF9AE}" pid="15" name="Mendeley Recent Style Name 6_1">
    <vt:lpwstr>International Journal of Hospitality Management</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http://www.zotero.org/styles/national-library-of-medicine</vt:lpwstr>
  </property>
  <property fmtid="{D5CDD505-2E9C-101B-9397-08002B2CF9AE}" pid="21" name="Mendeley Recent Style Name 9_1">
    <vt:lpwstr>National Library of Medicine</vt:lpwstr>
  </property>
  <property fmtid="{D5CDD505-2E9C-101B-9397-08002B2CF9AE}" pid="22" name="Mendeley Document_1">
    <vt:lpwstr>True</vt:lpwstr>
  </property>
  <property fmtid="{D5CDD505-2E9C-101B-9397-08002B2CF9AE}" pid="23" name="Mendeley Unique User Id_1">
    <vt:lpwstr>ada1233e-992e-39a2-bc7f-b0f8779ec76d</vt:lpwstr>
  </property>
  <property fmtid="{D5CDD505-2E9C-101B-9397-08002B2CF9AE}" pid="24" name="Mendeley Citation Style_1">
    <vt:lpwstr>http://www.zotero.org/styles/harvard-cite-them-right</vt:lpwstr>
  </property>
</Properties>
</file>