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02164" w14:textId="5FFF428F" w:rsidR="00FE6EDC" w:rsidRDefault="00183D0E" w:rsidP="00183D0E">
      <w:pPr>
        <w:spacing w:after="200"/>
        <w:jc w:val="center"/>
        <w:rPr>
          <w:rFonts w:ascii="Times New Roman" w:hAnsi="Times New Roman" w:cs="Times New Roman"/>
          <w:b/>
          <w:color w:val="000000" w:themeColor="text1"/>
          <w:sz w:val="28"/>
          <w:szCs w:val="28"/>
          <w:lang w:val="en-US"/>
        </w:rPr>
      </w:pPr>
      <w:r w:rsidRPr="00183D0E">
        <w:rPr>
          <w:rFonts w:ascii="Times New Roman" w:hAnsi="Times New Roman" w:cs="Times New Roman"/>
          <w:b/>
          <w:color w:val="000000" w:themeColor="text1"/>
          <w:sz w:val="28"/>
          <w:szCs w:val="28"/>
          <w:lang w:val="en-US"/>
        </w:rPr>
        <w:t>Internal Migration a</w:t>
      </w:r>
      <w:r w:rsidR="00FE6EDC" w:rsidRPr="00183D0E">
        <w:rPr>
          <w:rFonts w:ascii="Times New Roman" w:hAnsi="Times New Roman" w:cs="Times New Roman"/>
          <w:b/>
          <w:color w:val="000000" w:themeColor="text1"/>
          <w:sz w:val="28"/>
          <w:szCs w:val="28"/>
          <w:lang w:val="en-US"/>
        </w:rPr>
        <w:t>s an Adjustment Device in Russia: Spatial Issues</w:t>
      </w:r>
    </w:p>
    <w:p w14:paraId="6B21896A" w14:textId="37C7BF57" w:rsidR="00183D0E" w:rsidRDefault="00183D0E" w:rsidP="00183D0E">
      <w:pPr>
        <w:spacing w:after="120"/>
        <w:jc w:val="center"/>
        <w:outlineLvl w:val="0"/>
        <w:rPr>
          <w:rFonts w:ascii="Times New Roman" w:hAnsi="Times New Roman" w:cs="Times New Roman"/>
          <w:b/>
          <w:color w:val="000000" w:themeColor="text1"/>
          <w:lang w:val="en-US"/>
        </w:rPr>
      </w:pPr>
      <w:r w:rsidRPr="00C02FE1">
        <w:rPr>
          <w:rFonts w:ascii="Times New Roman" w:hAnsi="Times New Roman" w:cs="Times New Roman"/>
          <w:b/>
          <w:color w:val="000000" w:themeColor="text1"/>
          <w:lang w:val="en-US"/>
        </w:rPr>
        <w:t xml:space="preserve">Francesco </w:t>
      </w:r>
      <w:proofErr w:type="spellStart"/>
      <w:r w:rsidRPr="00C02FE1">
        <w:rPr>
          <w:rFonts w:ascii="Times New Roman" w:hAnsi="Times New Roman" w:cs="Times New Roman"/>
          <w:b/>
          <w:color w:val="000000" w:themeColor="text1"/>
          <w:lang w:val="en-US"/>
        </w:rPr>
        <w:t>Pastore</w:t>
      </w:r>
      <w:r w:rsidR="00E55862" w:rsidRPr="00E55862">
        <w:rPr>
          <w:rFonts w:ascii="Times New Roman" w:hAnsi="Times New Roman" w:cs="Times New Roman"/>
          <w:b/>
          <w:color w:val="000000" w:themeColor="text1"/>
          <w:vertAlign w:val="superscript"/>
          <w:lang w:val="en-US"/>
        </w:rPr>
        <w:t>a</w:t>
      </w:r>
      <w:proofErr w:type="spellEnd"/>
      <w:r w:rsidRPr="00C02FE1">
        <w:rPr>
          <w:rFonts w:ascii="Times New Roman" w:hAnsi="Times New Roman" w:cs="Times New Roman"/>
          <w:b/>
          <w:color w:val="000000" w:themeColor="text1"/>
          <w:lang w:val="en-US"/>
        </w:rPr>
        <w:t xml:space="preserve"> and Elena </w:t>
      </w:r>
      <w:proofErr w:type="spellStart"/>
      <w:r w:rsidRPr="00C02FE1">
        <w:rPr>
          <w:rFonts w:ascii="Times New Roman" w:hAnsi="Times New Roman" w:cs="Times New Roman"/>
          <w:b/>
          <w:color w:val="000000" w:themeColor="text1"/>
          <w:lang w:val="en-US"/>
        </w:rPr>
        <w:t>Semerikova</w:t>
      </w:r>
      <w:r w:rsidR="00E55862" w:rsidRPr="00E55862">
        <w:rPr>
          <w:rFonts w:ascii="Times New Roman" w:hAnsi="Times New Roman" w:cs="Times New Roman"/>
          <w:b/>
          <w:color w:val="000000" w:themeColor="text1"/>
          <w:vertAlign w:val="superscript"/>
          <w:lang w:val="en-US"/>
        </w:rPr>
        <w:t>b</w:t>
      </w:r>
      <w:proofErr w:type="spellEnd"/>
    </w:p>
    <w:p w14:paraId="42C3A6D2" w14:textId="3B6A4A47" w:rsidR="004E1398" w:rsidRDefault="004E1398" w:rsidP="004E1398">
      <w:pPr>
        <w:jc w:val="center"/>
        <w:outlineLvl w:val="0"/>
        <w:rPr>
          <w:rFonts w:ascii="Times New Roman" w:hAnsi="Times New Roman" w:cs="Times New Roman"/>
          <w:color w:val="000000" w:themeColor="text1"/>
          <w:vertAlign w:val="superscript"/>
          <w:lang w:val="en-US"/>
        </w:rPr>
      </w:pPr>
      <w:r w:rsidRPr="004E1398">
        <w:rPr>
          <w:rFonts w:ascii="Times New Roman" w:hAnsi="Times New Roman" w:cs="Times New Roman"/>
          <w:color w:val="000000" w:themeColor="text1"/>
          <w:sz w:val="22"/>
          <w:szCs w:val="22"/>
          <w:vertAlign w:val="superscript"/>
          <w:lang w:val="en-US"/>
        </w:rPr>
        <w:t xml:space="preserve">1 </w:t>
      </w:r>
      <w:r w:rsidR="00516B10" w:rsidRPr="00E55862">
        <w:rPr>
          <w:rFonts w:ascii="Times New Roman" w:hAnsi="Times New Roman" w:cs="Times New Roman"/>
          <w:color w:val="000000" w:themeColor="text1"/>
          <w:sz w:val="22"/>
          <w:szCs w:val="22"/>
          <w:lang w:val="en-US"/>
        </w:rPr>
        <w:t xml:space="preserve">University of Campania "Luigi </w:t>
      </w:r>
      <w:proofErr w:type="spellStart"/>
      <w:r w:rsidR="00516B10" w:rsidRPr="00E55862">
        <w:rPr>
          <w:rFonts w:ascii="Times New Roman" w:hAnsi="Times New Roman" w:cs="Times New Roman"/>
          <w:color w:val="000000" w:themeColor="text1"/>
          <w:sz w:val="22"/>
          <w:szCs w:val="22"/>
          <w:lang w:val="en-US"/>
        </w:rPr>
        <w:t>Vanvitelli</w:t>
      </w:r>
      <w:proofErr w:type="spellEnd"/>
      <w:r w:rsidR="00516B10" w:rsidRPr="00E55862">
        <w:rPr>
          <w:rFonts w:ascii="Times New Roman" w:hAnsi="Times New Roman" w:cs="Times New Roman"/>
          <w:color w:val="000000" w:themeColor="text1"/>
          <w:sz w:val="22"/>
          <w:szCs w:val="22"/>
          <w:lang w:val="en-US"/>
        </w:rPr>
        <w:t>" and IZA,</w:t>
      </w:r>
      <w:r>
        <w:rPr>
          <w:rFonts w:ascii="Times New Roman" w:hAnsi="Times New Roman" w:cs="Times New Roman"/>
          <w:color w:val="000000" w:themeColor="text1"/>
          <w:sz w:val="22"/>
          <w:szCs w:val="22"/>
          <w:lang w:val="en-US"/>
        </w:rPr>
        <w:t xml:space="preserve"> Naples, Italy, </w:t>
      </w:r>
      <w:r w:rsidR="00D97694" w:rsidRPr="00D97694">
        <w:rPr>
          <w:rFonts w:ascii="Times New Roman" w:hAnsi="Times New Roman" w:cs="Times New Roman"/>
          <w:color w:val="000000" w:themeColor="text1"/>
          <w:sz w:val="22"/>
          <w:szCs w:val="22"/>
          <w:lang w:val="en-US"/>
        </w:rPr>
        <w:t>francesco.pastore@unicampania.it</w:t>
      </w:r>
      <w:r>
        <w:rPr>
          <w:rFonts w:ascii="Times New Roman" w:hAnsi="Times New Roman" w:cs="Times New Roman"/>
          <w:color w:val="000000" w:themeColor="text1"/>
          <w:vertAlign w:val="superscript"/>
          <w:lang w:val="en-US"/>
        </w:rPr>
        <w:t xml:space="preserve"> </w:t>
      </w:r>
    </w:p>
    <w:p w14:paraId="5E1DB8A4" w14:textId="220FAF94" w:rsidR="00FE6EDC" w:rsidRPr="008A76EE" w:rsidRDefault="004E1398" w:rsidP="008A76EE">
      <w:pPr>
        <w:spacing w:after="120"/>
        <w:jc w:val="center"/>
        <w:outlineLvl w:val="0"/>
        <w:rPr>
          <w:rFonts w:ascii="Times New Roman" w:hAnsi="Times New Roman" w:cs="Times New Roman"/>
          <w:color w:val="000000" w:themeColor="text1"/>
          <w:sz w:val="22"/>
          <w:szCs w:val="22"/>
          <w:lang w:val="en-US"/>
        </w:rPr>
      </w:pPr>
      <w:r>
        <w:rPr>
          <w:rFonts w:ascii="Times New Roman" w:hAnsi="Times New Roman" w:cs="Times New Roman"/>
          <w:color w:val="000000" w:themeColor="text1"/>
          <w:vertAlign w:val="superscript"/>
          <w:lang w:val="en-US"/>
        </w:rPr>
        <w:t>2</w:t>
      </w:r>
      <w:r w:rsidR="00E55862">
        <w:rPr>
          <w:rFonts w:ascii="Times New Roman" w:hAnsi="Times New Roman" w:cs="Times New Roman"/>
          <w:color w:val="000000" w:themeColor="text1"/>
          <w:vertAlign w:val="superscript"/>
          <w:lang w:val="en-US"/>
        </w:rPr>
        <w:t xml:space="preserve"> </w:t>
      </w:r>
      <w:r w:rsidR="00516B10" w:rsidRPr="00E55862">
        <w:rPr>
          <w:rFonts w:ascii="Times New Roman" w:hAnsi="Times New Roman" w:cs="Times New Roman"/>
          <w:color w:val="000000" w:themeColor="text1"/>
          <w:sz w:val="22"/>
          <w:szCs w:val="22"/>
          <w:lang w:val="en-US"/>
        </w:rPr>
        <w:t>National Research University Higher School of</w:t>
      </w:r>
      <w:r w:rsidR="00516B10">
        <w:rPr>
          <w:rFonts w:ascii="Times New Roman" w:hAnsi="Times New Roman" w:cs="Times New Roman"/>
          <w:color w:val="000000" w:themeColor="text1"/>
          <w:sz w:val="22"/>
          <w:szCs w:val="22"/>
          <w:lang w:val="en-US"/>
        </w:rPr>
        <w:t xml:space="preserve"> Economics</w:t>
      </w:r>
      <w:r>
        <w:rPr>
          <w:rFonts w:ascii="Times New Roman" w:hAnsi="Times New Roman" w:cs="Times New Roman"/>
          <w:color w:val="000000" w:themeColor="text1"/>
          <w:sz w:val="22"/>
          <w:szCs w:val="22"/>
          <w:lang w:val="en-US"/>
        </w:rPr>
        <w:t>, Moscow, Russia, lena.sem7@mail.ru</w:t>
      </w:r>
    </w:p>
    <w:p w14:paraId="1BA04CF3" w14:textId="77777777" w:rsidR="008A76EE" w:rsidRDefault="003D205B" w:rsidP="008A76EE">
      <w:pPr>
        <w:pStyle w:val="ArticleLabormobility"/>
        <w:spacing w:line="240" w:lineRule="auto"/>
        <w:ind w:firstLine="340"/>
        <w:rPr>
          <w:color w:val="000000" w:themeColor="text1"/>
        </w:rPr>
      </w:pPr>
      <w:r w:rsidRPr="00FE6EDC">
        <w:rPr>
          <w:color w:val="000000" w:themeColor="text1"/>
        </w:rPr>
        <w:t xml:space="preserve">This paper aims to assess the role of migration as an adjustment mechanism device to favor convergence across states and regions of Russia. </w:t>
      </w:r>
      <w:r w:rsidR="002E6DF3">
        <w:rPr>
          <w:color w:val="000000" w:themeColor="text1"/>
        </w:rPr>
        <w:t xml:space="preserve"> </w:t>
      </w:r>
      <w:r w:rsidR="00FE6EDC" w:rsidRPr="002E6DF3">
        <w:rPr>
          <w:color w:val="000000" w:themeColor="text1"/>
        </w:rPr>
        <w:t xml:space="preserve">In this paper, we study the migration response to regional </w:t>
      </w:r>
      <w:proofErr w:type="spellStart"/>
      <w:r w:rsidR="00FE6EDC" w:rsidRPr="002E6DF3">
        <w:rPr>
          <w:color w:val="000000" w:themeColor="text1"/>
        </w:rPr>
        <w:t>labour</w:t>
      </w:r>
      <w:proofErr w:type="spellEnd"/>
      <w:r w:rsidR="00FE6EDC" w:rsidRPr="002E6DF3">
        <w:rPr>
          <w:color w:val="000000" w:themeColor="text1"/>
        </w:rPr>
        <w:t xml:space="preserve"> market shocks</w:t>
      </w:r>
      <w:r w:rsidR="002E6DF3">
        <w:rPr>
          <w:color w:val="000000" w:themeColor="text1"/>
        </w:rPr>
        <w:t>. The paper</w:t>
      </w:r>
      <w:r w:rsidR="00FE6EDC" w:rsidRPr="002E6DF3">
        <w:rPr>
          <w:color w:val="000000" w:themeColor="text1"/>
        </w:rPr>
        <w:t xml:space="preserve"> investigate</w:t>
      </w:r>
      <w:r w:rsidR="002E6DF3">
        <w:rPr>
          <w:color w:val="000000" w:themeColor="text1"/>
        </w:rPr>
        <w:t>s</w:t>
      </w:r>
      <w:r w:rsidR="00FE6EDC" w:rsidRPr="002E6DF3">
        <w:rPr>
          <w:color w:val="000000" w:themeColor="text1"/>
        </w:rPr>
        <w:t xml:space="preserve"> the statistical relationship between migration in a region and the relative unemployment rate along with the relative income in a region in the case of Russia, a country for which there are only very few studies in migration flows.</w:t>
      </w:r>
      <w:r w:rsidR="002E6DF3">
        <w:rPr>
          <w:color w:val="000000" w:themeColor="text1"/>
        </w:rPr>
        <w:t xml:space="preserve"> </w:t>
      </w:r>
      <w:r w:rsidR="002E6DF3" w:rsidRPr="00FE6EDC">
        <w:rPr>
          <w:color w:val="000000" w:themeColor="text1"/>
        </w:rPr>
        <w:t xml:space="preserve">In contrast to previous studies </w:t>
      </w:r>
      <w:r w:rsidR="002E6DF3">
        <w:rPr>
          <w:color w:val="000000" w:themeColor="text1"/>
        </w:rPr>
        <w:t xml:space="preserve">and </w:t>
      </w:r>
      <w:r w:rsidR="002E6DF3" w:rsidRPr="002E6DF3">
        <w:rPr>
          <w:color w:val="000000" w:themeColor="text1"/>
        </w:rPr>
        <w:t xml:space="preserve"> </w:t>
      </w:r>
      <w:r w:rsidR="002E6DF3">
        <w:rPr>
          <w:color w:val="000000" w:themeColor="text1"/>
        </w:rPr>
        <w:t>s</w:t>
      </w:r>
      <w:r w:rsidR="002E6DF3" w:rsidRPr="002E6DF3">
        <w:rPr>
          <w:color w:val="000000" w:themeColor="text1"/>
        </w:rPr>
        <w:t xml:space="preserve">imilar to what </w:t>
      </w:r>
      <w:r w:rsidR="002E6DF3" w:rsidRPr="00C02FE1">
        <w:rPr>
          <w:color w:val="000000" w:themeColor="text1"/>
        </w:rPr>
        <w:fldChar w:fldCharType="begin"/>
      </w:r>
      <w:r w:rsidR="002E6DF3" w:rsidRPr="002E6DF3">
        <w:rPr>
          <w:color w:val="000000" w:themeColor="text1"/>
        </w:rPr>
        <w:instrText xml:space="preserve"> ADDIN EN.CITE &lt;EndNote&gt;&lt;Cite AuthorYear="1"&gt;&lt;Author&gt;Jauer&lt;/Author&gt;&lt;Year&gt;2019&lt;/Year&gt;&lt;RecNum&gt;282&lt;/RecNum&gt;&lt;DisplayText&gt;Jauer, Liebig et al. (2019)&lt;/DisplayText&gt;&lt;record&gt;&lt;rec-number&gt;282&lt;/rec-number&gt;&lt;foreign-keys&gt;&lt;key app="EN" db-id="9dzefp2wb50zv6etddmpfdfpwststxtsprdf" timestamp="1551098405"&gt;282&lt;/key&gt;&lt;/foreign-keys&gt;&lt;ref-type name="Journal Article"&gt;17&lt;/ref-type&gt;&lt;contributors&gt;&lt;authors&gt;&lt;author&gt;Jauer, Julia&lt;/author&gt;&lt;author&gt;Liebig, Thomas&lt;/author&gt;&lt;author&gt;Martin, John P&lt;/author&gt;&lt;author&gt;Puhani, Patrick A&lt;/author&gt;&lt;/authors&gt;&lt;/contributors&gt;&lt;titles&gt;&lt;title&gt;Migration as an adjustment mechanism in the crisis? A comparison of Europe and the United States 2006–2016&lt;/title&gt;&lt;secondary-title&gt;Journal of Population Economics&lt;/secondary-title&gt;&lt;/titles&gt;&lt;periodical&gt;&lt;full-title&gt;Journal of Population Economics&lt;/full-title&gt;&lt;/periodical&gt;&lt;pages&gt;1-22&lt;/pages&gt;&lt;volume&gt;32&lt;/volume&gt;&lt;number&gt;1&lt;/number&gt;&lt;dates&gt;&lt;year&gt;2019&lt;/year&gt;&lt;/dates&gt;&lt;isbn&gt;0933-1433&lt;/isbn&gt;&lt;urls&gt;&lt;/urls&gt;&lt;/record&gt;&lt;/Cite&gt;&lt;/EndNote&gt;</w:instrText>
      </w:r>
      <w:r w:rsidR="002E6DF3" w:rsidRPr="00C02FE1">
        <w:rPr>
          <w:color w:val="000000" w:themeColor="text1"/>
        </w:rPr>
        <w:fldChar w:fldCharType="separate"/>
      </w:r>
      <w:r w:rsidR="002E6DF3" w:rsidRPr="002E6DF3">
        <w:rPr>
          <w:color w:val="000000" w:themeColor="text1"/>
        </w:rPr>
        <w:t>Jauer, Liebig et al. (2019)</w:t>
      </w:r>
      <w:r w:rsidR="002E6DF3" w:rsidRPr="00C02FE1">
        <w:rPr>
          <w:color w:val="000000" w:themeColor="text1"/>
        </w:rPr>
        <w:fldChar w:fldCharType="end"/>
      </w:r>
      <w:r w:rsidR="002E6DF3" w:rsidRPr="002E6DF3">
        <w:rPr>
          <w:color w:val="000000" w:themeColor="text1"/>
        </w:rPr>
        <w:t xml:space="preserve"> do for the EU, </w:t>
      </w:r>
      <w:r w:rsidR="002E6DF3" w:rsidRPr="00FE6EDC">
        <w:rPr>
          <w:color w:val="000000" w:themeColor="text1"/>
        </w:rPr>
        <w:t>we use variations in the population of a region as a proxy of its net migration rate</w:t>
      </w:r>
      <w:r w:rsidR="002E6DF3">
        <w:rPr>
          <w:color w:val="000000" w:themeColor="text1"/>
        </w:rPr>
        <w:t xml:space="preserve">. </w:t>
      </w:r>
      <w:r w:rsidR="00FE6EDC" w:rsidRPr="00C02FE1">
        <w:rPr>
          <w:color w:val="000000" w:themeColor="text1"/>
        </w:rPr>
        <w:t>We focus explicitly on population changes as proxies for migration flows what allows us to analyze both intern</w:t>
      </w:r>
      <w:bookmarkStart w:id="0" w:name="_GoBack"/>
      <w:bookmarkEnd w:id="0"/>
      <w:r w:rsidR="00FE6EDC" w:rsidRPr="00C02FE1">
        <w:rPr>
          <w:color w:val="000000" w:themeColor="text1"/>
        </w:rPr>
        <w:t xml:space="preserve">al and external migration flows. This approach to our knowledge has not been used before for Russian data until now. </w:t>
      </w:r>
    </w:p>
    <w:p w14:paraId="16D655B1" w14:textId="77777777" w:rsidR="008A76EE" w:rsidRDefault="002E6DF3" w:rsidP="008A76EE">
      <w:pPr>
        <w:pStyle w:val="ArticleLabormobility"/>
        <w:spacing w:line="240" w:lineRule="auto"/>
        <w:ind w:firstLine="340"/>
        <w:rPr>
          <w:color w:val="000000" w:themeColor="text1"/>
        </w:rPr>
      </w:pPr>
      <w:r>
        <w:rPr>
          <w:color w:val="000000" w:themeColor="text1"/>
        </w:rPr>
        <w:t xml:space="preserve">We also </w:t>
      </w:r>
      <w:r w:rsidRPr="00FE6EDC">
        <w:rPr>
          <w:color w:val="000000" w:themeColor="text1"/>
        </w:rPr>
        <w:t xml:space="preserve">apply spatial econometric methodology in order to distinguish the </w:t>
      </w:r>
      <w:r>
        <w:rPr>
          <w:color w:val="000000" w:themeColor="text1"/>
        </w:rPr>
        <w:t xml:space="preserve">effect </w:t>
      </w:r>
      <w:r w:rsidR="00FE6EDC" w:rsidRPr="00C02FE1">
        <w:rPr>
          <w:color w:val="000000" w:themeColor="text1"/>
        </w:rPr>
        <w:t xml:space="preserve">of changes in incomes and unemployment rates in the </w:t>
      </w:r>
      <w:proofErr w:type="spellStart"/>
      <w:r w:rsidR="00FE6EDC" w:rsidRPr="00C02FE1">
        <w:rPr>
          <w:color w:val="000000" w:themeColor="text1"/>
        </w:rPr>
        <w:t>neighbouring</w:t>
      </w:r>
      <w:proofErr w:type="spellEnd"/>
      <w:r w:rsidR="00FE6EDC" w:rsidRPr="00C02FE1">
        <w:rPr>
          <w:color w:val="000000" w:themeColor="text1"/>
        </w:rPr>
        <w:t xml:space="preserve"> regions. This represent an important innovation in the relevant literature, since it allows us to separate the effect of distant regions f</w:t>
      </w:r>
      <w:r>
        <w:rPr>
          <w:color w:val="000000" w:themeColor="text1"/>
        </w:rPr>
        <w:t xml:space="preserve">rom those of </w:t>
      </w:r>
      <w:proofErr w:type="spellStart"/>
      <w:r>
        <w:rPr>
          <w:color w:val="000000" w:themeColor="text1"/>
        </w:rPr>
        <w:t>neighbouring</w:t>
      </w:r>
      <w:proofErr w:type="spellEnd"/>
      <w:r>
        <w:rPr>
          <w:color w:val="000000" w:themeColor="text1"/>
        </w:rPr>
        <w:t xml:space="preserve"> ones.</w:t>
      </w:r>
    </w:p>
    <w:p w14:paraId="2C9D9136" w14:textId="77777777" w:rsidR="008A76EE" w:rsidRDefault="002E6DF3" w:rsidP="008A76EE">
      <w:pPr>
        <w:pStyle w:val="ArticleLabormobility"/>
        <w:spacing w:line="240" w:lineRule="auto"/>
        <w:ind w:firstLine="340"/>
        <w:rPr>
          <w:color w:val="000000" w:themeColor="text1"/>
        </w:rPr>
      </w:pPr>
      <w:r w:rsidRPr="00C02FE1">
        <w:rPr>
          <w:color w:val="000000" w:themeColor="text1"/>
        </w:rPr>
        <w:t>In our paper, we study the case of convergence in unemployment rates, expecting a small but significant effect of mobility on regional convergence in unemployment. Our empirical analysis suggests that the relatively high degree of internal mobility coupled with the low sensitivity of migration flows to the local unemployment rate of distant regions might explain why migration flows tends not to generate convergence, but rather divergence across Russian regions.</w:t>
      </w:r>
    </w:p>
    <w:p w14:paraId="5FF2BFE2" w14:textId="77777777" w:rsidR="008A76EE" w:rsidRDefault="00300ACD" w:rsidP="008A76EE">
      <w:pPr>
        <w:pStyle w:val="ArticleLabormobility"/>
        <w:spacing w:line="240" w:lineRule="auto"/>
        <w:ind w:firstLine="340"/>
        <w:rPr>
          <w:color w:val="000000" w:themeColor="text1"/>
        </w:rPr>
      </w:pPr>
      <w:r>
        <w:rPr>
          <w:color w:val="000000" w:themeColor="text1"/>
        </w:rPr>
        <w:t xml:space="preserve">This study </w:t>
      </w:r>
      <w:r w:rsidR="002E6DF3" w:rsidRPr="00C02FE1">
        <w:rPr>
          <w:color w:val="000000" w:themeColor="text1"/>
        </w:rPr>
        <w:t xml:space="preserve">innovates on the existing literature on several aspects. First, this is the first study in the literature on the adjustment mechanism which takes into account spatial econometrics effects of </w:t>
      </w:r>
      <w:proofErr w:type="spellStart"/>
      <w:r w:rsidR="002E6DF3" w:rsidRPr="00C02FE1">
        <w:rPr>
          <w:color w:val="000000" w:themeColor="text1"/>
        </w:rPr>
        <w:t>neighbouring</w:t>
      </w:r>
      <w:proofErr w:type="spellEnd"/>
      <w:r w:rsidR="002E6DF3" w:rsidRPr="00C02FE1">
        <w:rPr>
          <w:color w:val="000000" w:themeColor="text1"/>
        </w:rPr>
        <w:t xml:space="preserve"> regions and distinguish them from far regions. Second, this is one of the few studies looking at the impact of internal and international migration on Russian regions</w:t>
      </w:r>
      <w:r>
        <w:rPr>
          <w:color w:val="000000" w:themeColor="text1"/>
        </w:rPr>
        <w:t xml:space="preserve">. </w:t>
      </w:r>
      <w:r w:rsidR="002E6DF3" w:rsidRPr="00C02FE1">
        <w:rPr>
          <w:color w:val="000000" w:themeColor="text1"/>
        </w:rPr>
        <w:t xml:space="preserve">We link the literature on international and internal migration with that on convergence in incomes and unemployment differentials in Russia. </w:t>
      </w:r>
    </w:p>
    <w:p w14:paraId="3ADD8302" w14:textId="7EB83025" w:rsidR="003D205B" w:rsidRPr="002E6DF3" w:rsidRDefault="003D205B" w:rsidP="008A76EE">
      <w:pPr>
        <w:pStyle w:val="ArticleLabormobility"/>
        <w:spacing w:line="240" w:lineRule="auto"/>
        <w:ind w:firstLine="340"/>
        <w:rPr>
          <w:color w:val="000000" w:themeColor="text1"/>
        </w:rPr>
      </w:pPr>
      <w:r w:rsidRPr="00FE6EDC">
        <w:rPr>
          <w:color w:val="000000" w:themeColor="text1"/>
        </w:rPr>
        <w:t xml:space="preserve">The econometric analysis shows that migration flows are especially sensitive to regional income, rather than regional unemployment differentials. Nonetheless, we find that internal migration is sensitive to regional unemployment differentials of </w:t>
      </w:r>
      <w:proofErr w:type="spellStart"/>
      <w:r w:rsidRPr="00FE6EDC">
        <w:rPr>
          <w:color w:val="000000" w:themeColor="text1"/>
        </w:rPr>
        <w:t>neighbouring</w:t>
      </w:r>
      <w:proofErr w:type="spellEnd"/>
      <w:r w:rsidRPr="00FE6EDC">
        <w:rPr>
          <w:color w:val="000000" w:themeColor="text1"/>
        </w:rPr>
        <w:t xml:space="preserve"> regions. The relatively high degree of internal mobility coupled with the low sensitivity of migration flows to the local unemployment rate of distant regions might explain why migration flows tends not to generate convergence, but rather divergence across Russian regions.</w:t>
      </w:r>
    </w:p>
    <w:p w14:paraId="5EF7C0A3" w14:textId="77777777" w:rsidR="00667949" w:rsidRPr="003D205B" w:rsidRDefault="00667949">
      <w:pPr>
        <w:rPr>
          <w:lang w:val="en-US"/>
        </w:rPr>
      </w:pPr>
    </w:p>
    <w:sectPr w:rsidR="00667949" w:rsidRPr="003D205B" w:rsidSect="00183D0E">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5B"/>
    <w:rsid w:val="00016F1B"/>
    <w:rsid w:val="00093B14"/>
    <w:rsid w:val="00183D0E"/>
    <w:rsid w:val="00197F6D"/>
    <w:rsid w:val="002E6DF3"/>
    <w:rsid w:val="00300ACD"/>
    <w:rsid w:val="003373C7"/>
    <w:rsid w:val="00361440"/>
    <w:rsid w:val="00366A87"/>
    <w:rsid w:val="00371B61"/>
    <w:rsid w:val="003A33C8"/>
    <w:rsid w:val="003D205B"/>
    <w:rsid w:val="004E1398"/>
    <w:rsid w:val="004E6184"/>
    <w:rsid w:val="00516B10"/>
    <w:rsid w:val="00523206"/>
    <w:rsid w:val="00667949"/>
    <w:rsid w:val="00667F87"/>
    <w:rsid w:val="00862E02"/>
    <w:rsid w:val="008A76EE"/>
    <w:rsid w:val="00904B20"/>
    <w:rsid w:val="00B2102C"/>
    <w:rsid w:val="00C12B7D"/>
    <w:rsid w:val="00C12FD4"/>
    <w:rsid w:val="00D97694"/>
    <w:rsid w:val="00DA0510"/>
    <w:rsid w:val="00E373F2"/>
    <w:rsid w:val="00E55862"/>
    <w:rsid w:val="00E71C62"/>
    <w:rsid w:val="00EB69CA"/>
    <w:rsid w:val="00F10547"/>
    <w:rsid w:val="00F43CD8"/>
    <w:rsid w:val="00FD79F8"/>
    <w:rsid w:val="00FE4BBE"/>
    <w:rsid w:val="00FE6EDC"/>
    <w:rsid w:val="00FF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382AB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D2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Labormobility">
    <w:name w:val="Article Labor mobility"/>
    <w:basedOn w:val="a"/>
    <w:qFormat/>
    <w:rsid w:val="00FE6EDC"/>
    <w:pPr>
      <w:spacing w:line="360" w:lineRule="auto"/>
      <w:ind w:firstLine="454"/>
      <w:jc w:val="both"/>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78071">
      <w:bodyDiv w:val="1"/>
      <w:marLeft w:val="0"/>
      <w:marRight w:val="0"/>
      <w:marTop w:val="0"/>
      <w:marBottom w:val="0"/>
      <w:divBdr>
        <w:top w:val="none" w:sz="0" w:space="0" w:color="auto"/>
        <w:left w:val="none" w:sz="0" w:space="0" w:color="auto"/>
        <w:bottom w:val="none" w:sz="0" w:space="0" w:color="auto"/>
        <w:right w:val="none" w:sz="0" w:space="0" w:color="auto"/>
      </w:divBdr>
    </w:div>
    <w:div w:id="2140685706">
      <w:bodyDiv w:val="1"/>
      <w:marLeft w:val="0"/>
      <w:marRight w:val="0"/>
      <w:marTop w:val="0"/>
      <w:marBottom w:val="0"/>
      <w:divBdr>
        <w:top w:val="none" w:sz="0" w:space="0" w:color="auto"/>
        <w:left w:val="none" w:sz="0" w:space="0" w:color="auto"/>
        <w:bottom w:val="none" w:sz="0" w:space="0" w:color="auto"/>
        <w:right w:val="none" w:sz="0" w:space="0" w:color="auto"/>
      </w:divBdr>
      <w:divsChild>
        <w:div w:id="1414011349">
          <w:marLeft w:val="0"/>
          <w:marRight w:val="0"/>
          <w:marTop w:val="0"/>
          <w:marBottom w:val="0"/>
          <w:divBdr>
            <w:top w:val="none" w:sz="0" w:space="0" w:color="auto"/>
            <w:left w:val="none" w:sz="0" w:space="0" w:color="auto"/>
            <w:bottom w:val="none" w:sz="0" w:space="0" w:color="auto"/>
            <w:right w:val="none" w:sz="0" w:space="0" w:color="auto"/>
          </w:divBdr>
          <w:divsChild>
            <w:div w:id="1659533596">
              <w:marLeft w:val="0"/>
              <w:marRight w:val="0"/>
              <w:marTop w:val="0"/>
              <w:marBottom w:val="0"/>
              <w:divBdr>
                <w:top w:val="none" w:sz="0" w:space="0" w:color="auto"/>
                <w:left w:val="none" w:sz="0" w:space="0" w:color="auto"/>
                <w:bottom w:val="none" w:sz="0" w:space="0" w:color="auto"/>
                <w:right w:val="none" w:sz="0" w:space="0" w:color="auto"/>
              </w:divBdr>
              <w:divsChild>
                <w:div w:id="14505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611</Words>
  <Characters>3392</Characters>
  <Application>Microsoft Macintosh Word</Application>
  <DocSecurity>0</DocSecurity>
  <Lines>47</Lines>
  <Paragraphs>12</Paragraphs>
  <ScaleCrop>false</ScaleCrop>
  <HeadingPairs>
    <vt:vector size="4" baseType="variant">
      <vt:variant>
        <vt:lpstr>Название</vt:lpstr>
      </vt:variant>
      <vt:variant>
        <vt:i4>1</vt:i4>
      </vt:variant>
      <vt:variant>
        <vt:lpstr>Headings</vt:lpstr>
      </vt:variant>
      <vt:variant>
        <vt:i4>3</vt:i4>
      </vt:variant>
    </vt:vector>
  </HeadingPairs>
  <TitlesOfParts>
    <vt:vector size="4" baseType="lpstr">
      <vt:lpstr/>
      <vt:lpstr>Francesco Pastorea and Elena Semerikovab</vt:lpstr>
      <vt:lpstr>1 University of Campania "Luigi Vanvitelli" and IZA, Naples, Italy, francesco.pa</vt:lpstr>
      <vt:lpstr>2 National Research University Higher School of Economics, Moscow, Russia, lena.</vt:lpstr>
    </vt:vector>
  </TitlesOfParts>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Семерикова</dc:creator>
  <cp:keywords/>
  <dc:description/>
  <cp:lastModifiedBy>Елена Семерикова</cp:lastModifiedBy>
  <cp:revision>3</cp:revision>
  <dcterms:created xsi:type="dcterms:W3CDTF">2019-07-01T18:18:00Z</dcterms:created>
  <dcterms:modified xsi:type="dcterms:W3CDTF">2019-07-06T17:32:00Z</dcterms:modified>
</cp:coreProperties>
</file>